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27" w:rsidRPr="00734BC2" w:rsidRDefault="00632EDC">
      <w:pPr>
        <w:rPr>
          <w:rFonts w:eastAsia="黑体"/>
          <w:sz w:val="30"/>
        </w:rPr>
      </w:pPr>
      <w:r w:rsidRPr="00734BC2">
        <w:rPr>
          <w:rFonts w:eastAsia="黑体" w:hint="eastAsia"/>
          <w:sz w:val="30"/>
        </w:rPr>
        <w:t>高纲</w:t>
      </w:r>
      <w:r w:rsidR="00734BC2" w:rsidRPr="00734BC2">
        <w:rPr>
          <w:rFonts w:eastAsia="黑体"/>
          <w:sz w:val="30"/>
        </w:rPr>
        <w:t>6005</w:t>
      </w:r>
    </w:p>
    <w:p w:rsidR="00D36227" w:rsidRPr="00734BC2" w:rsidRDefault="00632EDC">
      <w:pPr>
        <w:spacing w:line="900" w:lineRule="exact"/>
        <w:rPr>
          <w:rFonts w:eastAsia="黑体"/>
          <w:sz w:val="30"/>
        </w:rPr>
      </w:pPr>
      <w:r w:rsidRPr="00734BC2">
        <w:rPr>
          <w:rFonts w:eastAsia="黑体" w:hint="eastAsia"/>
          <w:sz w:val="30"/>
        </w:rPr>
        <w:t>江苏省高等教育自学考试大纲</w:t>
      </w:r>
    </w:p>
    <w:p w:rsidR="00D36227" w:rsidRPr="00734BC2" w:rsidRDefault="00D36227">
      <w:pPr>
        <w:jc w:val="center"/>
        <w:rPr>
          <w:rFonts w:eastAsia="黑体"/>
          <w:sz w:val="30"/>
        </w:rPr>
      </w:pPr>
    </w:p>
    <w:p w:rsidR="00D36227" w:rsidRPr="00734BC2" w:rsidRDefault="00D36227">
      <w:pPr>
        <w:jc w:val="center"/>
        <w:rPr>
          <w:rFonts w:eastAsia="黑体"/>
          <w:sz w:val="30"/>
        </w:rPr>
      </w:pPr>
    </w:p>
    <w:p w:rsidR="00D36227" w:rsidRPr="00734BC2" w:rsidRDefault="00D36227">
      <w:pPr>
        <w:jc w:val="center"/>
        <w:rPr>
          <w:rFonts w:eastAsia="黑体"/>
          <w:sz w:val="30"/>
        </w:rPr>
      </w:pPr>
    </w:p>
    <w:p w:rsidR="00D36227" w:rsidRPr="00734BC2" w:rsidRDefault="00D36227">
      <w:pPr>
        <w:jc w:val="center"/>
        <w:rPr>
          <w:rFonts w:eastAsia="黑体"/>
          <w:sz w:val="30"/>
        </w:rPr>
      </w:pPr>
      <w:bookmarkStart w:id="0" w:name="_GoBack"/>
      <w:bookmarkEnd w:id="0"/>
    </w:p>
    <w:p w:rsidR="00D36227" w:rsidRPr="00734BC2" w:rsidRDefault="00D36227">
      <w:pPr>
        <w:jc w:val="center"/>
        <w:rPr>
          <w:rFonts w:eastAsia="黑体"/>
          <w:sz w:val="30"/>
        </w:rPr>
      </w:pPr>
    </w:p>
    <w:p w:rsidR="00D36227" w:rsidRPr="00734BC2" w:rsidRDefault="00D36227">
      <w:pPr>
        <w:jc w:val="center"/>
        <w:rPr>
          <w:rFonts w:eastAsia="黑体"/>
          <w:sz w:val="30"/>
        </w:rPr>
      </w:pPr>
    </w:p>
    <w:p w:rsidR="00D36227" w:rsidRPr="00734BC2" w:rsidRDefault="00D36227">
      <w:pPr>
        <w:jc w:val="center"/>
        <w:rPr>
          <w:rFonts w:eastAsia="黑体"/>
          <w:sz w:val="30"/>
        </w:rPr>
      </w:pPr>
    </w:p>
    <w:p w:rsidR="00D36227" w:rsidRPr="00734BC2" w:rsidRDefault="00734BC2">
      <w:pPr>
        <w:ind w:firstLineChars="200" w:firstLine="1044"/>
        <w:jc w:val="right"/>
        <w:rPr>
          <w:rFonts w:eastAsia="黑体"/>
          <w:b/>
          <w:bCs/>
          <w:sz w:val="52"/>
        </w:rPr>
      </w:pPr>
      <w:r w:rsidRPr="00734BC2">
        <w:rPr>
          <w:rFonts w:eastAsia="黑体" w:hint="eastAsia"/>
          <w:b/>
          <w:bCs/>
          <w:sz w:val="52"/>
        </w:rPr>
        <w:t>1</w:t>
      </w:r>
      <w:r w:rsidRPr="00734BC2">
        <w:rPr>
          <w:rFonts w:eastAsia="黑体"/>
          <w:b/>
          <w:bCs/>
          <w:sz w:val="52"/>
        </w:rPr>
        <w:t>3668</w:t>
      </w:r>
      <w:r w:rsidR="00632EDC" w:rsidRPr="00734BC2">
        <w:rPr>
          <w:rFonts w:eastAsia="黑体" w:hint="eastAsia"/>
          <w:b/>
          <w:bCs/>
          <w:sz w:val="52"/>
        </w:rPr>
        <w:t xml:space="preserve">　公共</w:t>
      </w:r>
      <w:r w:rsidR="003F02B7">
        <w:rPr>
          <w:rFonts w:eastAsia="黑体" w:hint="eastAsia"/>
          <w:b/>
          <w:bCs/>
          <w:sz w:val="52"/>
        </w:rPr>
        <w:t>事务</w:t>
      </w:r>
      <w:r w:rsidR="00632EDC" w:rsidRPr="00734BC2">
        <w:rPr>
          <w:rFonts w:eastAsia="黑体" w:hint="eastAsia"/>
          <w:b/>
          <w:bCs/>
          <w:sz w:val="52"/>
        </w:rPr>
        <w:t>管理概论</w:t>
      </w:r>
    </w:p>
    <w:p w:rsidR="00D36227" w:rsidRPr="00734BC2" w:rsidRDefault="00632EDC">
      <w:pPr>
        <w:spacing w:line="900" w:lineRule="exact"/>
        <w:ind w:firstLineChars="200" w:firstLine="600"/>
        <w:jc w:val="right"/>
        <w:rPr>
          <w:rFonts w:eastAsia="黑体"/>
          <w:sz w:val="30"/>
        </w:rPr>
      </w:pPr>
      <w:r w:rsidRPr="00734BC2">
        <w:rPr>
          <w:rFonts w:eastAsia="黑体" w:hint="eastAsia"/>
          <w:sz w:val="30"/>
        </w:rPr>
        <w:t xml:space="preserve">　　　　　　　　　　　　　　南京师范大学编（</w:t>
      </w:r>
      <w:r w:rsidRPr="00734BC2">
        <w:rPr>
          <w:rFonts w:eastAsia="黑体" w:hint="eastAsia"/>
          <w:sz w:val="30"/>
        </w:rPr>
        <w:t>2024</w:t>
      </w:r>
      <w:r w:rsidRPr="00734BC2">
        <w:rPr>
          <w:rFonts w:eastAsia="黑体" w:hint="eastAsia"/>
          <w:sz w:val="30"/>
        </w:rPr>
        <w:t>年）</w:t>
      </w:r>
    </w:p>
    <w:p w:rsidR="00D36227" w:rsidRPr="00734BC2" w:rsidRDefault="00D36227">
      <w:pPr>
        <w:jc w:val="center"/>
        <w:rPr>
          <w:rFonts w:eastAsia="黑体"/>
          <w:sz w:val="30"/>
        </w:rPr>
      </w:pPr>
    </w:p>
    <w:p w:rsidR="00D36227" w:rsidRDefault="00D36227">
      <w:pPr>
        <w:jc w:val="center"/>
        <w:rPr>
          <w:rFonts w:eastAsia="黑体"/>
          <w:sz w:val="30"/>
        </w:rPr>
      </w:pPr>
    </w:p>
    <w:p w:rsidR="00D36227" w:rsidRDefault="00D36227">
      <w:pPr>
        <w:jc w:val="center"/>
        <w:rPr>
          <w:rFonts w:eastAsia="黑体"/>
          <w:sz w:val="30"/>
        </w:rPr>
      </w:pPr>
    </w:p>
    <w:p w:rsidR="00D36227" w:rsidRDefault="00D36227">
      <w:pPr>
        <w:jc w:val="center"/>
        <w:rPr>
          <w:rFonts w:eastAsia="黑体"/>
          <w:sz w:val="30"/>
        </w:rPr>
      </w:pPr>
    </w:p>
    <w:p w:rsidR="00D36227" w:rsidRDefault="00D36227">
      <w:pPr>
        <w:rPr>
          <w:rFonts w:eastAsia="黑体"/>
          <w:sz w:val="30"/>
        </w:rPr>
      </w:pPr>
    </w:p>
    <w:p w:rsidR="00D36227" w:rsidRDefault="00D36227">
      <w:pPr>
        <w:jc w:val="center"/>
        <w:rPr>
          <w:rFonts w:eastAsia="黑体"/>
          <w:sz w:val="30"/>
        </w:rPr>
      </w:pPr>
    </w:p>
    <w:p w:rsidR="00734BC2" w:rsidRDefault="00734BC2">
      <w:pPr>
        <w:jc w:val="center"/>
        <w:rPr>
          <w:rFonts w:eastAsia="黑体"/>
          <w:sz w:val="30"/>
        </w:rPr>
      </w:pPr>
    </w:p>
    <w:p w:rsidR="00734BC2" w:rsidRDefault="00734BC2">
      <w:pPr>
        <w:jc w:val="center"/>
        <w:rPr>
          <w:rFonts w:eastAsia="黑体"/>
          <w:sz w:val="30"/>
        </w:rPr>
      </w:pPr>
    </w:p>
    <w:p w:rsidR="00D36227" w:rsidRDefault="00D36227">
      <w:pPr>
        <w:jc w:val="center"/>
        <w:rPr>
          <w:rFonts w:eastAsia="黑体"/>
          <w:sz w:val="30"/>
        </w:rPr>
      </w:pPr>
    </w:p>
    <w:p w:rsidR="00D36227" w:rsidRDefault="00632EDC">
      <w:pPr>
        <w:ind w:firstLineChars="200" w:firstLine="600"/>
        <w:jc w:val="center"/>
        <w:rPr>
          <w:rFonts w:eastAsia="黑体"/>
          <w:sz w:val="30"/>
        </w:rPr>
      </w:pPr>
      <w:r>
        <w:rPr>
          <w:rFonts w:eastAsia="黑体" w:hint="eastAsia"/>
          <w:sz w:val="30"/>
        </w:rPr>
        <w:t>江苏省高等教育自学考试委员会办公室</w:t>
      </w: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734BC2" w:rsidRDefault="00734BC2">
      <w:pPr>
        <w:ind w:firstLineChars="200" w:firstLine="480"/>
        <w:jc w:val="center"/>
        <w:rPr>
          <w:rFonts w:ascii="宋体" w:eastAsia="宋体" w:hAnsi="宋体" w:cs="宋体"/>
          <w:sz w:val="24"/>
        </w:rPr>
      </w:pPr>
    </w:p>
    <w:p w:rsidR="00D36227" w:rsidRDefault="00632EDC">
      <w:pPr>
        <w:spacing w:line="600" w:lineRule="auto"/>
        <w:ind w:firstLineChars="200" w:firstLine="562"/>
        <w:jc w:val="center"/>
        <w:rPr>
          <w:rFonts w:ascii="黑体" w:eastAsia="黑体" w:hAnsi="宋体"/>
          <w:b/>
          <w:sz w:val="28"/>
          <w:szCs w:val="28"/>
        </w:rPr>
      </w:pPr>
      <w:r>
        <w:rPr>
          <w:rFonts w:ascii="黑体" w:eastAsia="黑体" w:hAnsi="宋体" w:hint="eastAsia"/>
          <w:b/>
          <w:sz w:val="28"/>
          <w:szCs w:val="28"/>
        </w:rPr>
        <w:lastRenderedPageBreak/>
        <w:t>Ⅰ  课程性质与课程目标</w:t>
      </w:r>
    </w:p>
    <w:p w:rsidR="00D36227" w:rsidRDefault="00632EDC">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一、课程性质和特点</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公共事业管理概论”是公共事业管理专业最为基础和核心的一门课程。本课程旨在从理论上阐述公共事业和公共事业管理的基本范畴、公共事业管理的体制和方法等，同时对公共事业管理的各个门类进行概述。要求学生掌握公共事业管理的基本理论、方法和技术，能够比较熟练地分析和解决公共事业管理实践中的具体问题。引导培养学生的创造性思维，激发学生对公共事业管理专业的浓厚兴趣。</w:t>
      </w:r>
    </w:p>
    <w:p w:rsidR="00D36227" w:rsidRDefault="00632EDC">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二、课程目标</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课程设置的目标是使得考生能够：</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1.知识要求。让考生牢固地掌握公共事业和公共事业管理的基本概念，把握公共事业管理的基本特点、基本规律和原则，了解公共事业管理的体制、过程及发展趋势，能较好较熟练地认识和掌握公共事业管理的一般方法和技术，并对公共事业管理各个部门有初步的认识和了解。</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2.素质要求。充分认识当前我国进行事业单位体制改革和建立发展中国特色公共事业管理体制的重要性，加强</w:t>
      </w:r>
      <w:proofErr w:type="gramStart"/>
      <w:r>
        <w:rPr>
          <w:rFonts w:ascii="楷体" w:eastAsia="楷体" w:hAnsi="楷体" w:cs="楷体" w:hint="eastAsia"/>
          <w:sz w:val="24"/>
        </w:rPr>
        <w:t>专业思政教育</w:t>
      </w:r>
      <w:proofErr w:type="gramEnd"/>
      <w:r>
        <w:rPr>
          <w:rFonts w:ascii="楷体" w:eastAsia="楷体" w:hAnsi="楷体" w:cs="楷体" w:hint="eastAsia"/>
          <w:sz w:val="24"/>
        </w:rPr>
        <w:t>，培养热爱祖国、拥护中国共产党的领导，掌握中国特色社会主义理论体系，牢固树立正确的价值观、世界观与人生观，具有高度的公共精神，公共意识，公共责任，具有良好的专业素养，能够掌握本专业的思维方法和研究方法，形成良好的公共事业管理人文精神、专业素养与健全的人格心理。</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3.能力要求。培养考生公共事业管理领域认识问题、分析问题与解决问题的基本能力，形成公共管理学科的思维理解能力，政策理解与分析能力，公共事务的认知与分析能力，计划能力，组织协调与沟通能力，管理服务能力，团队合作能力，调查研究能力，信息处理能力和表达能力。</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b/>
          <w:bCs/>
          <w:sz w:val="24"/>
        </w:rPr>
        <w:t>三、与相关课程的联系与区别</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公共事业管理概论”是公共事业管理专业的基本课程，学习本课程应具备管理学、公共管理学的基本知识。通过管理学、公共管理学等基本理论的学习，有助于考生认识和理解公共事业管理的基本问题，提升考生分析问题和解决问题的能力。</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b/>
          <w:bCs/>
          <w:sz w:val="24"/>
        </w:rPr>
        <w:lastRenderedPageBreak/>
        <w:t>四、课程的重点和难点</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本课程的重点为：公共事业管理的基本问题、公共事业管理的模式与体制、公共事业管理组织及其职责、公共事业管理的基本过程、公共事业分类管理概述。</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本课程的难点为：公共事业管理的技术与方法、公共事业管理费用及配置效率、公共事业绩效管理与评价。</w:t>
      </w:r>
    </w:p>
    <w:p w:rsidR="00D36227" w:rsidRDefault="00632EDC">
      <w:pPr>
        <w:spacing w:line="600" w:lineRule="auto"/>
        <w:jc w:val="center"/>
        <w:rPr>
          <w:rFonts w:ascii="黑体" w:eastAsia="黑体" w:hAnsi="宋体" w:cs="Times New Roman"/>
          <w:b/>
          <w:sz w:val="28"/>
          <w:szCs w:val="28"/>
        </w:rPr>
      </w:pPr>
      <w:r>
        <w:rPr>
          <w:rFonts w:ascii="黑体" w:eastAsia="黑体" w:hAnsi="宋体" w:cs="Times New Roman" w:hint="eastAsia"/>
          <w:b/>
          <w:sz w:val="28"/>
          <w:szCs w:val="28"/>
        </w:rPr>
        <w:t>Ⅱ  考核目标</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“公共事业管理概论”课程主要从识记、领会和简单应用三个层次对考生进行考核，各层次要求考生应达到的能力层次要求为：</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识记：要求考生能够识别和记忆本课程中有关公共事业管理的基本概念、特征、原则、组织及其职责，以及公共服务管理的模式、层次、体制等主要内容，并能够根据考核的不同要求，做正确的表述、选择和判断。</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领会：要求考生能够领悟和理解公共事业管理的基本过程、经费配置和有关各门类公共事业管理的内涵与外延，并能根据不同的门类管理选择适当的管理技术和方法。</w:t>
      </w:r>
    </w:p>
    <w:p w:rsidR="00D36227" w:rsidRDefault="00632EDC">
      <w:pPr>
        <w:spacing w:line="360" w:lineRule="auto"/>
        <w:ind w:firstLineChars="200" w:firstLine="480"/>
        <w:rPr>
          <w:rFonts w:ascii="楷体" w:eastAsia="楷体" w:hAnsi="楷体" w:cs="楷体"/>
          <w:sz w:val="24"/>
        </w:rPr>
      </w:pPr>
      <w:r>
        <w:rPr>
          <w:rFonts w:ascii="楷体" w:eastAsia="楷体" w:hAnsi="楷体" w:cs="楷体" w:hint="eastAsia"/>
          <w:sz w:val="24"/>
        </w:rPr>
        <w:t>简单应用：要求考生能够依据已有的公共事业管理相关知识对具体的公共事业管理问题进行研究和分析，得出正确的结论或做出正确的判断。</w:t>
      </w:r>
    </w:p>
    <w:p w:rsidR="00D36227" w:rsidRDefault="00632EDC">
      <w:pPr>
        <w:spacing w:line="600" w:lineRule="auto"/>
        <w:jc w:val="center"/>
        <w:rPr>
          <w:rFonts w:ascii="黑体" w:eastAsia="黑体" w:hAnsi="宋体" w:cs="Times New Roman"/>
          <w:b/>
          <w:sz w:val="28"/>
          <w:szCs w:val="28"/>
        </w:rPr>
      </w:pPr>
      <w:r>
        <w:rPr>
          <w:rFonts w:ascii="黑体" w:eastAsia="黑体" w:hAnsi="宋体" w:cs="Times New Roman" w:hint="eastAsia"/>
          <w:b/>
          <w:sz w:val="28"/>
          <w:szCs w:val="28"/>
        </w:rPr>
        <w:t>Ⅲ  课程内容与考核要求</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第一章  导论：公共事业管理的基本问题</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理解公共事业管理的基本概念，掌握公共事业及其属性、公共事业管理及其特征和原则，了解公共事业管理与其他相关管理的关系。</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（一）理解公共事业管理的基本概念</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识记：①公共事务的概念；②公共事务的类别与层次；③公共产品的概念与特征；④公共服务的概念。</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领会：①准公共产品及其特点与分类；②公共产品的分类；③广义公共服务与狭义公共服务。</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（二）公共事业及其属性</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识记：①公共事业的基本内涵；②公共事业的基本特征。</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领会：①我国传统的公共事业及其转型；②改革开放以来我国事业的变化及转型；③公共事业产品性质分析</w:t>
      </w:r>
      <w:r>
        <w:rPr>
          <w:rFonts w:ascii="宋体" w:eastAsia="宋体" w:hAnsi="宋体" w:cs="宋体"/>
          <w:sz w:val="24"/>
        </w:rPr>
        <w:t>。</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（三）公共事业管理及其特征和原则</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识记：①公共事业管理界定；②公共事业管理的基本特征；③公共事业管理的基本原则。</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b/>
          <w:bCs/>
          <w:sz w:val="24"/>
        </w:rPr>
        <w:t>（四）</w:t>
      </w:r>
      <w:r>
        <w:rPr>
          <w:rFonts w:ascii="宋体" w:eastAsia="宋体" w:hAnsi="宋体" w:cs="宋体" w:hint="eastAsia"/>
          <w:b/>
          <w:bCs/>
          <w:sz w:val="24"/>
        </w:rPr>
        <w:t>公共事业管理与其他相关管理的关系</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w:t>
      </w:r>
      <w:r>
        <w:rPr>
          <w:rFonts w:ascii="宋体" w:eastAsia="宋体" w:hAnsi="宋体" w:cs="宋体"/>
          <w:sz w:val="24"/>
        </w:rPr>
        <w:t>会：①</w:t>
      </w:r>
      <w:r>
        <w:rPr>
          <w:rFonts w:ascii="宋体" w:eastAsia="宋体" w:hAnsi="宋体" w:cs="宋体" w:hint="eastAsia"/>
          <w:sz w:val="24"/>
        </w:rPr>
        <w:t>公共事业管理与公共管理；</w:t>
      </w:r>
      <w:r>
        <w:rPr>
          <w:rFonts w:ascii="宋体" w:eastAsia="宋体" w:hAnsi="宋体" w:cs="宋体"/>
          <w:sz w:val="24"/>
        </w:rPr>
        <w:t>②</w:t>
      </w:r>
      <w:r>
        <w:rPr>
          <w:rFonts w:ascii="宋体" w:eastAsia="宋体" w:hAnsi="宋体" w:cs="宋体" w:hint="eastAsia"/>
          <w:sz w:val="24"/>
        </w:rPr>
        <w:t>公共事业管理与行政管理；③公共事业管理与企业管理</w:t>
      </w:r>
      <w:r>
        <w:rPr>
          <w:rFonts w:ascii="宋体" w:eastAsia="宋体" w:hAnsi="宋体" w:cs="宋体"/>
          <w:sz w:val="24"/>
        </w:rPr>
        <w:t>。</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b/>
          <w:bCs/>
          <w:sz w:val="24"/>
        </w:rPr>
        <w:t>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sz w:val="24"/>
        </w:rPr>
        <w:t>本章重点：</w:t>
      </w:r>
      <w:r>
        <w:rPr>
          <w:rFonts w:ascii="宋体" w:eastAsia="宋体" w:hAnsi="宋体" w:cs="宋体" w:hint="eastAsia"/>
          <w:sz w:val="24"/>
        </w:rPr>
        <w:t>①理解公共事业管理的基本概念；②公共事业及其属性；③公共事业管理及其特征和原则</w:t>
      </w:r>
      <w:r>
        <w:rPr>
          <w:rFonts w:ascii="宋体" w:eastAsia="宋体" w:hAnsi="宋体" w:cs="宋体"/>
          <w:sz w:val="24"/>
        </w:rPr>
        <w:t>。</w:t>
      </w:r>
    </w:p>
    <w:p w:rsidR="00D36227" w:rsidRDefault="00632EDC">
      <w:pPr>
        <w:spacing w:line="360" w:lineRule="auto"/>
        <w:ind w:firstLineChars="200" w:firstLine="480"/>
        <w:rPr>
          <w:rFonts w:ascii="宋体" w:eastAsia="宋体" w:hAnsi="宋体" w:cs="宋体"/>
          <w:sz w:val="24"/>
        </w:rPr>
      </w:pPr>
      <w:r>
        <w:rPr>
          <w:rFonts w:ascii="宋体" w:eastAsia="宋体" w:hAnsi="宋体" w:cs="宋体"/>
          <w:sz w:val="24"/>
        </w:rPr>
        <w:t>本</w:t>
      </w:r>
      <w:r>
        <w:rPr>
          <w:rFonts w:ascii="宋体" w:eastAsia="宋体" w:hAnsi="宋体" w:cs="宋体" w:hint="eastAsia"/>
          <w:sz w:val="24"/>
        </w:rPr>
        <w:t>章</w:t>
      </w:r>
      <w:r>
        <w:rPr>
          <w:rFonts w:ascii="宋体" w:eastAsia="宋体" w:hAnsi="宋体" w:cs="宋体"/>
          <w:sz w:val="24"/>
        </w:rPr>
        <w:t>难点：</w:t>
      </w:r>
      <w:r>
        <w:rPr>
          <w:rFonts w:ascii="宋体" w:eastAsia="宋体" w:hAnsi="宋体" w:cs="宋体" w:hint="eastAsia"/>
          <w:sz w:val="24"/>
        </w:rPr>
        <w:t>①公共事业管理与其他相关管理的关系</w:t>
      </w:r>
      <w:r>
        <w:rPr>
          <w:rFonts w:ascii="宋体" w:eastAsia="宋体" w:hAnsi="宋体" w:cs="宋体"/>
          <w:sz w:val="24"/>
        </w:rPr>
        <w:t>。</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第二章</w:t>
      </w:r>
      <w:r>
        <w:rPr>
          <w:rFonts w:ascii="黑体" w:eastAsia="黑体" w:hAnsi="宋体" w:cs="Times New Roman" w:hint="eastAsia"/>
          <w:sz w:val="24"/>
        </w:rPr>
        <w:t> </w:t>
      </w:r>
      <w:r>
        <w:rPr>
          <w:rFonts w:ascii="黑体" w:eastAsia="黑体" w:hAnsi="宋体" w:cs="Times New Roman" w:hint="eastAsia"/>
          <w:sz w:val="24"/>
        </w:rPr>
        <w:t>公共服务管理的模式与体制</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b/>
          <w:bCs/>
          <w:sz w:val="24"/>
        </w:rPr>
        <w:t>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理解公共服务管理模式的基本内涵和公共服务管理的市场模式，了解其历史演变，掌握公共服务管理模式的实质及其决定因素、当代公共服务的供给方式以及当代公共服务管理的层次与体制等。</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(一）公共服务管理模式（上）</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识记：公共服务管理模式的基本内涵。</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领会：①公共服务管理模式的历史演变；②公共服务管理模式的实质及其决定因素。</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（二）公共服务管理模式（下）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识记：①当代公共服务供给方式；②当代公共服务管理模式的基本特点。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领会：①公共服务管理市场模式机理形成的基础。</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（三）当代公共服务管理的层次与体制</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领会：①宏观公共服务管理的基本目标；②宏观公共服务管理的基本方式和</w:t>
      </w:r>
      <w:r>
        <w:rPr>
          <w:rFonts w:ascii="宋体" w:eastAsia="宋体" w:hAnsi="宋体" w:cs="宋体" w:hint="eastAsia"/>
          <w:sz w:val="24"/>
        </w:rPr>
        <w:lastRenderedPageBreak/>
        <w:t>基本内容；③微观公共服务管理的基本目标；④微观公共服务管理的基本方式和内容。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简单应用：①分析宏观公共服务管理与微观公共服务管理的关系；②解析现代公共服务管理体制的基本内涵。</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本章重点：①公共服务管理模式。</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本章难点：①当代公共服务管理的层次与体制。</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第三章  公共事业管理组织及其职责</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理解并掌握公共事业管理领域的不同组织及其职责，包括政府与公共事业管理、非营利组织与公共事业管理、事业单位与公共事业管理以及企业与公共事业管理。</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（一）政府与公共事业管理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识记：①公共事业管理中政府的基本职责。</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领会：①现代市场经济条件下的政府与政府职能；②政府在公共事业管理中的地位。</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（二）非营利组织与公共事业管理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识记：①非营利组织的概念与特征。</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领会：①现代市场经济条件下非营利组织的基本功能；②非营利组织在公共事业管理中的地位与作用；③非营利组织在公共事业领域中的基本职责。</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（三）事业单位与公共事业管理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识记：①事业单位的内涵、类别与特征。</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领会：①事业单位的基本活动方式。</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简单应用：①综合分析论述事业单位的改革历程与趋势。</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（四）企业与公共事业管理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识记：①企业的概念和基本属性；②企业在公共事业领域中的基本活动方式。</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领会：①我国公共事业领域内的各类企业；②企业在当代公共事业管理中的作用。</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简单应用：①简要分析企业进入公共事业管理领域的条件。</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本章重点：①政府与公共事业管理；②非营利组织与公共事业管理；③事业单位与公共事业管理。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本章难点：①企业与公共事业管理。</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第四章  公共事业管理的基本过程</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从政策过程的视角理解并掌握公共事业管理的基本过程及其内容。</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（一）公共事业管理的问题及其认定</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领会：①公共事业管理问题及其特点；②公共事业管理问题的形成与提出；③公共事业管理问题的认定。</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（二）公共事业产品政策方案的制定及选择</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简单应用：①公共事业产品政策方案的制定；②公共事业产品政策方案的选择。</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（三）公共事业产品政策的执行方式与类型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领会：①公共事业管理政策执行的基本类型。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简单应用：①基于政府组织阐述公共事业产品政策的执行方式。</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（四）公共事业管理政策执行的基本过程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领会：①公共事业产品政策执行的准备阶段、实施阶段和监测控制阶段。</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本章重点：①公共事业产品政策方案的制定及选择；②公共事业产品政策的执行方式与类型。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本章难点：①公共事业管理的问题及其认定；②公共事业管理政策执行的基本过程。</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第五章  公共事业管理的技术与方法</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理解并掌握公共事业管理领域中公共部门战略管理、公共部门项目管理两个</w:t>
      </w:r>
      <w:r>
        <w:rPr>
          <w:rFonts w:ascii="宋体" w:eastAsia="宋体" w:hAnsi="宋体" w:cs="宋体" w:hint="eastAsia"/>
          <w:sz w:val="24"/>
        </w:rPr>
        <w:lastRenderedPageBreak/>
        <w:t>管理工具，以及公共管理合同和公私合作方法。</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（一）公共部门战略管理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识记：①战略管理的内涵与基本特征；②公共部门战略管理的价值；③公共部门战略管理的特点。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领会：①公共事业管理部门战略管理过程。</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简单应用：①公共部门战略管理规划中的SWOT分析和PEST分析。</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（二）公共部门项目管理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识记：①公共部门项目管理的内涵与基本要求。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领会：①公共部门项目管理的目标确立与计划形成；②公共部门项目管理方案的拟定；③公共部门项目管理方案的实施。</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（三）公共管理合同与公私合作</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识记：①公共管理合同的概念与特点；②公共管理合同的基本内容；③公私合作的概念。</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领会：①公共管理合同的授权方式；②公私合作具体方式。</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简单应用：①运用公私合作的相关问题展开分析。</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本章重点：①公共部门战略管理；②公共部门项目管理。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本章难点：①公共管理合同与公私合作。</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第六章  公共事业管理费用及配置效率</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理解公共事业产品的生产方式与提供方式的基本组合，掌握不同类别公共事业经费投入分析和公共事业管理经费的配置效率分析。</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（一）公共事业产品的生产与提供方式的基本组合</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领会：①公共事业产品的生产与提供方式及其价值；②当代公共产品的生产方式与提供方式的组合。</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（二）不同类别的公共事业经费投入分析</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识记：①公共事业管理中公共支出的概念和分类；②公共事业管理费用中的</w:t>
      </w:r>
      <w:r>
        <w:rPr>
          <w:rFonts w:ascii="宋体" w:eastAsia="宋体" w:hAnsi="宋体" w:cs="宋体" w:hint="eastAsia"/>
          <w:sz w:val="24"/>
        </w:rPr>
        <w:lastRenderedPageBreak/>
        <w:t>公共支出原则；③公共事业运行中非营利组织投入的内涵；④公共事业运行中非营利组织资金投入原则。</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领会：①公共事业管理费用中的公共支出结构分析；②公共事业运行中的企业资金投入。</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（三）公共事业管理经费的配置效率分析</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简单应用：①对具有非竞争性和一定排他性的公共事业产品的配置效率进行分析；②对具有非排他性和一定竞争性的公共事业产品的配置效率进行分析。</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本章重点：①公共事业产品的生产方式与提供方式的基本组合；②不同类别的公共事业经费投入分析。</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本章难点：①公共事业管理经费的配置效率分析。</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第七章  公共事业绩效管理与评价</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理解公共事业绩效管理的内涵与价值，掌握并学会运用公共事业绩效评价指标与标杆管理，了解公共事业绩效的外部评价。</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（一）公共事业绩效管理内涵与价值</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识记：①公共事业绩效管理的基本内涵。</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领会：①公共部门绩效管理的形成；②公共事业绩效管理的价值。</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（二）公共事业绩效评价指标与标杆管理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识记：①公共事业绩效评估指标；②公共事业绩效管理成功的必须条件。</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领会：①标杆管理在公共事业绩效管理中的应用和作用。</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（三）公共事业绩效的外部评价</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公共事业管理社会评价指标；②公共事业管理社会评价的方法；③公共事业管理社会评价的主要内容；④公共事业管理公众满意评价的产生及实质；⑤公共事业管理的公众满意评价的基本方法；⑥实施公共事业管理公众满意评价的条件。</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本章重点：①公共事业绩效管理内涵与价值。</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本章难点：①公共事业绩效评价指标与标杆管理；②公共事业绩效的外部评价。</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第八章  公共事业分类管理概述（上）</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从公共事业管理的基本属性和要求出发，理解并掌握科技事务、教育事务和文化事务的管理。</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（一）科技事务管理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识记：①科技活动的类别划分。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领会：①科技产品的准公共性分析；②政府在科技发展中的作用。</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简单应用：①简要阐述现代社会科技管理基本内涵。</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（二）教育事务管理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识记：①教育活动的类别。</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领会：①教育产品的准公共性；②政府介入教育产品市场的必要性。</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简单应用：①简要阐述现代社会教育事务管理的基本内涵。</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（三）文化事务管理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识记：①现代社会文化活动的类别和基本内容。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领会：①文化产品的准公共性；②政府介入文化产品市场的必要性。</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简单应用：①简要阐述现代社会文化管理的基本内涵。</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本章重点：①科技活动的类别；②教育活动的类别；③现代社会文化活动的类别和基本内容；④科技产品的准公共性；⑤教育产品的准公共性；⑥文化产品的准公共性。</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本章难点：①现代社会科技管理基本内涵；②现代社会教育事务管理的基本内涵；③现代社会文化管理的基本内涵。</w:t>
      </w:r>
    </w:p>
    <w:p w:rsidR="00D36227" w:rsidRDefault="00632EDC">
      <w:pPr>
        <w:spacing w:line="600" w:lineRule="auto"/>
        <w:jc w:val="center"/>
        <w:rPr>
          <w:rFonts w:ascii="黑体" w:eastAsia="黑体" w:hAnsi="宋体" w:cs="Times New Roman"/>
          <w:sz w:val="24"/>
        </w:rPr>
      </w:pPr>
      <w:r>
        <w:rPr>
          <w:rFonts w:ascii="黑体" w:eastAsia="黑体" w:hAnsi="宋体" w:cs="Times New Roman" w:hint="eastAsia"/>
          <w:sz w:val="24"/>
        </w:rPr>
        <w:t>第九章  公共事业分类管理概述（下）</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从公共事业管理的基本内涵和要求出发，理解并掌握卫生事务管理、体育事</w:t>
      </w:r>
      <w:r>
        <w:rPr>
          <w:rFonts w:ascii="宋体" w:eastAsia="宋体" w:hAnsi="宋体" w:cs="宋体" w:hint="eastAsia"/>
          <w:sz w:val="24"/>
        </w:rPr>
        <w:lastRenderedPageBreak/>
        <w:t>务管理和城市公用事业管理。</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（一）卫生事务管理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识记：①现代卫生活动的基本内容及类别划分；②现代卫生管理的基本内容。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领会：①卫生产品的准公共性；②政府介入卫生产品市场的必要性。</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（二）体育事务管理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识记：①现代体育的基本内容和分类；②现代体育管理的基本内容。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领会：①体育产品的准公共性。</w:t>
      </w:r>
    </w:p>
    <w:p w:rsidR="00D36227" w:rsidRDefault="00632EDC">
      <w:pPr>
        <w:spacing w:line="360" w:lineRule="auto"/>
        <w:ind w:firstLineChars="200" w:firstLine="482"/>
        <w:rPr>
          <w:rFonts w:ascii="宋体" w:eastAsia="宋体" w:hAnsi="宋体" w:cs="宋体"/>
          <w:sz w:val="24"/>
        </w:rPr>
      </w:pPr>
      <w:r>
        <w:rPr>
          <w:rFonts w:ascii="宋体" w:eastAsia="宋体" w:hAnsi="宋体" w:cs="宋体" w:hint="eastAsia"/>
          <w:b/>
          <w:bCs/>
          <w:sz w:val="24"/>
        </w:rPr>
        <w:t>（三）公用事业管理</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识记：①现代公用事业的基本内容；②现代公用事业管理的基本内容。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领会：①政府介入现代公用事业产品市场的必要性。</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本章重点：①现代卫生活动的基本内容及类别划分；②卫生产品的准公共性；③现代体育的基本内容和分类；④体育产品的准公共性；⑤现代公用事业的基本内容。</w:t>
      </w:r>
    </w:p>
    <w:p w:rsidR="00D36227" w:rsidRDefault="00632EDC">
      <w:pPr>
        <w:spacing w:line="360" w:lineRule="auto"/>
        <w:ind w:firstLineChars="200" w:firstLine="480"/>
        <w:rPr>
          <w:rFonts w:ascii="宋体" w:eastAsia="宋体" w:hAnsi="宋体" w:cs="宋体"/>
          <w:b/>
          <w:bCs/>
          <w:sz w:val="24"/>
        </w:rPr>
      </w:pPr>
      <w:r>
        <w:rPr>
          <w:rFonts w:ascii="宋体" w:eastAsia="宋体" w:hAnsi="宋体" w:cs="宋体" w:hint="eastAsia"/>
          <w:sz w:val="24"/>
        </w:rPr>
        <w:t>本章难点：①现代卫生管理的基本内容；②现代体育管理的基本内容；③现代公用事业管理的基本内容。</w:t>
      </w:r>
    </w:p>
    <w:p w:rsidR="00D36227" w:rsidRDefault="00632EDC">
      <w:pPr>
        <w:spacing w:line="600" w:lineRule="auto"/>
        <w:ind w:firstLineChars="200" w:firstLine="562"/>
        <w:jc w:val="center"/>
        <w:rPr>
          <w:rFonts w:ascii="黑体" w:eastAsia="黑体" w:hAnsi="宋体"/>
          <w:b/>
          <w:sz w:val="28"/>
          <w:szCs w:val="28"/>
        </w:rPr>
      </w:pPr>
      <w:r>
        <w:rPr>
          <w:rFonts w:ascii="黑体" w:eastAsia="黑体" w:hAnsi="宋体" w:hint="eastAsia"/>
          <w:b/>
          <w:sz w:val="28"/>
          <w:szCs w:val="28"/>
        </w:rPr>
        <w:t>Ⅳ  关于大纲的说明与考核实施要求</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一、自学考试大纲的目的和作用</w:t>
      </w:r>
    </w:p>
    <w:p w:rsidR="00D36227" w:rsidRDefault="00632EDC">
      <w:pPr>
        <w:spacing w:line="360" w:lineRule="auto"/>
        <w:ind w:firstLineChars="200" w:firstLine="480"/>
        <w:rPr>
          <w:rFonts w:ascii="宋体" w:hAnsi="宋体"/>
          <w:sz w:val="24"/>
        </w:rPr>
      </w:pPr>
      <w:r>
        <w:rPr>
          <w:rFonts w:ascii="宋体" w:hAnsi="宋体" w:hint="eastAsia"/>
          <w:sz w:val="24"/>
        </w:rPr>
        <w:t>课程自学考试大纲是根据专业自学考试计划的要求，结合自学考试的特点而确定。其目的是对个人自学、社会助学和课程考试命题进行指导和规定。</w:t>
      </w:r>
    </w:p>
    <w:p w:rsidR="00D36227" w:rsidRDefault="00632EDC">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课程自学考试大纲明确了课程学习的内容以及深广度，规定了课程自学考试的范围和标准。因此，它是编写自学考试教材和辅导书的依据，是社会助学组织进行自学辅导的依据，是自学者学习教材、掌握课程内容知识范围和程度的依据，也是进行自学考试命题的依据。</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二、课程自学考试大纲与教材的关系</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课程自学考试大纲是进行学习和考核的依据，教材则列出了学生学习本门课程的基本内容与范围，教材的内容是大纲所规定的课程知识和内容的扩展与发挥。课程内在教材中可以体现一定的深度或难度，但在大纲中对考核的要求一定</w:t>
      </w:r>
      <w:r>
        <w:rPr>
          <w:rFonts w:ascii="宋体" w:eastAsia="宋体" w:hAnsi="宋体" w:cs="宋体" w:hint="eastAsia"/>
          <w:sz w:val="24"/>
        </w:rPr>
        <w:lastRenderedPageBreak/>
        <w:t>要适当。</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大纲与教材所体现的课程内容应基本一致,大纲中的课程内容和考核知识点，教材里一般也要有；反过来，教材里有的内容，大纲里就不一定体现。</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三、关于自学教材</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《公共事业管理概论》（第四版），崔运武著，高等教育出版社，2023年版。</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四、关于自学要求和自学方法的指导</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为了有效地指导个人自学和社会助学，本大纲已指明了课程的重点和难点，在章节的基本要求中一般也指明了章节内容的重点和难点。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考生在自学过程中应该注意以下问题：</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1.在全面系统学习的基础上理解和掌握基本理论、基本方法</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学习时应注意以下几点：①要把握全册教材的结构体系，掌握内在线索；②学习各章时要理清知识要点和脉络，在理解的基础上加强记忆；③注意区分相近的概念和相通的方法，并掌握它们之间的联系；④在全面系统学习的基础上要掌握重点。</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2.理论联系实际，将方法的原理学习与应用相结合</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理论联系实际，包括联系教育体制改革的实际，学校教育教学工作的实际，教育对象—青少年儿童发展的实际，以及日常社会生活的实际。自学者应以改革的意识、科学研究的意识，满腔热忱地从实际中发现和提出问题，运用所学的理论分析和解决问题，以不断提高自己的科学研究能力，同时要具体、丰富、深刻地理解教材内容。</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五、应考指导</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1.如何学习</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周全的计划和组织是学习成功的法宝。具体要做到以下几点：①在学习时，一定要跟紧课程并完成作业。②为了在考试中做出满意的回答，必须对所学课程</w:t>
      </w:r>
      <w:r>
        <w:rPr>
          <w:rFonts w:ascii="宋体" w:eastAsia="宋体" w:hAnsi="宋体" w:cs="宋体" w:hint="eastAsia"/>
          <w:sz w:val="24"/>
        </w:rPr>
        <w:lastRenderedPageBreak/>
        <w:t>的内容有很好的理解。③可以使用“行动计划表”来监控学习的进展。④阅读课本时最好做读书笔记，如有需要重点主要的内容，可以用彩笔来标注。如：红色代表重点；绿色代表需要深入研究的领域；黄色代表可以运用在工作之中的知识点。还可以在空白处记录相关网站、文章等。</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2.如何考试</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一是卷面要整洁。评分教师只能为他能看懂的内容打分，而书写工整、段落与间距合理、卷面赏心悦目有助于教师评分。二是在答题时，要回答所问的问题，而不能随意地回答,要避免超过问题的范围。</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六、对社会助学的要求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1）社会助学者应根据本大纲规定的课程内容和考核要求，认真钻研指定教材，明确本课程与其他课程不同的特点和学习要求，对自学者进行切实有效的辅导，引导他们防止自学中可能出现的各种偏向，把握社会助学的正确导向。</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2）正确处理基础知识和应用能力的关系，努力引导自学者将识记、领会与应用联系起来，有条件的应适当组织自学者开展科学研究实践，学会把基础知识和理论转化为应用能力，在全面辅导的基础上，着重培养和提高自学者提出问题、分析问题和解决问题的能力。</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3）要正确处理重点和一般的关系。课程内容有重点与一般之分，但考试内容是全面的。社会助学者应指导自学者全面系统地学习教材，掌握全部考试内容和考核知识点，在此基础上突出重点。总之，要把重点学习与兼顾一般相结合，防止孤立地抓重点,甚至猜题、押题。</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七、对考核内容的说明</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hAnsi="宋体" w:hint="eastAsia"/>
          <w:sz w:val="24"/>
        </w:rPr>
        <w:t>本课程要求考生学习和掌握的知识点内容都作为考核的内容。课程中各章的内容均由若干知识点组成，在自学考试中成为考核知识点。因此，课程自学考试大纲中所规定的考试内容是以分解为考核知识点的方式给出的。由于各知识点在课程中的地位、作用以及知识自身的特点不同，自学考试将对各知识点分别按三个认知（或叫能力）层次确定其考核要求。</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2）在考试之日起6个月前，由全国人民代表大会和国务院颁布或修订的法律、法规都将列人相应课程的考试范围。凡大纲、教材内容与现行法律法规不符的，应以现行法律法规为准。命题时也会对我国经济建设和科技文化发展的重</w:t>
      </w:r>
      <w:r>
        <w:rPr>
          <w:rFonts w:ascii="宋体" w:eastAsia="宋体" w:hAnsi="宋体" w:cs="宋体" w:hint="eastAsia"/>
          <w:sz w:val="24"/>
        </w:rPr>
        <w:lastRenderedPageBreak/>
        <w:t>大方针政策的变化予以体现。</w:t>
      </w:r>
    </w:p>
    <w:p w:rsidR="00D36227" w:rsidRDefault="00632ED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八、关于考试命题的若干规定</w:t>
      </w:r>
    </w:p>
    <w:p w:rsidR="00D36227" w:rsidRDefault="00632EDC">
      <w:pPr>
        <w:spacing w:line="360" w:lineRule="auto"/>
        <w:ind w:firstLineChars="200" w:firstLine="480"/>
        <w:rPr>
          <w:rFonts w:ascii="宋体" w:eastAsia="宋体" w:hAnsi="宋体" w:cs="宋体"/>
          <w:sz w:val="24"/>
        </w:rPr>
      </w:pPr>
      <w:r>
        <w:rPr>
          <w:rFonts w:ascii="宋体" w:eastAsia="宋体" w:hAnsi="宋体" w:cs="宋体" w:hint="eastAsia"/>
          <w:sz w:val="24"/>
        </w:rPr>
        <w:t>（1）本课程的命题考试，应根据本大纲所规定的课程内容和考核要求来确定考试范围和考核要求，不能任意扩大或缩小考试范围，提高或降低考核要求。考试命题要覆盖到各章,并适当突出重点章节，体现本课程的内容重点。</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（2）本课程在试卷中对不同能力层次要求的分数比例大致为：识记部分占40%，领会部分占30%，简单应用部分占30%。</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（3）本大纲各章所规定的课程内容、知识点及知识点下的知识细目，都属于考核的内容。考试命题既要覆盖到章，又要避免面面俱到。要注意突出课程的重点、章节的重点，加大重点内容的覆盖度。</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（4）命题不应有超出大纲中考核知识</w:t>
      </w:r>
      <w:proofErr w:type="gramStart"/>
      <w:r w:rsidRPr="00C93958">
        <w:rPr>
          <w:rFonts w:ascii="宋体" w:eastAsia="宋体" w:hAnsi="宋体" w:cs="宋体" w:hint="eastAsia"/>
          <w:sz w:val="24"/>
        </w:rPr>
        <w:t>点范围</w:t>
      </w:r>
      <w:proofErr w:type="gramEnd"/>
      <w:r w:rsidRPr="00C93958">
        <w:rPr>
          <w:rFonts w:ascii="宋体" w:eastAsia="宋体" w:hAnsi="宋体" w:cs="宋体" w:hint="eastAsia"/>
          <w:sz w:val="24"/>
        </w:rPr>
        <w:t>的题，考核要求不得高于大纲中所规定的相应的最高能力层次要求。命题应着重考核自学者对基本概念、基本知识和基本理论是否了解或掌握，对基本方法是否会用或熟练运用。不应出与基本要求不符的偏题或怪题。</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（5）要合理安排试题的难易程度，试题的难度可分为：易、较易、较难和难四个等级。每份试卷中不同难度试题的分数比例一般为：2:3:3:2。</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必须注意试题的难易程度与能力层次有一定的联系,但二者不是等同的概念。在各个能力层次中对于不同的考生都存在着不同的难度。在大纲中要特别强调这个问题，应告诫考生切勿混淆。</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（6）</w:t>
      </w:r>
      <w:r w:rsidRPr="00C93958">
        <w:rPr>
          <w:rFonts w:ascii="宋体" w:hAnsi="宋体" w:hint="eastAsia"/>
          <w:sz w:val="24"/>
        </w:rPr>
        <w:t>考试方式为闭卷、笔试，考试时间为1</w:t>
      </w:r>
      <w:r w:rsidRPr="00C93958">
        <w:rPr>
          <w:rFonts w:ascii="宋体" w:hAnsi="宋体"/>
          <w:sz w:val="24"/>
        </w:rPr>
        <w:t>5</w:t>
      </w:r>
      <w:r w:rsidRPr="00C93958">
        <w:rPr>
          <w:rFonts w:ascii="宋体" w:hAnsi="宋体" w:hint="eastAsia"/>
          <w:sz w:val="24"/>
        </w:rPr>
        <w:t>0分钟。评分采用百分制，60分为及格。</w:t>
      </w:r>
      <w:r w:rsidRPr="00C93958">
        <w:rPr>
          <w:rFonts w:ascii="宋体" w:hAnsi="宋体" w:cs="宋体"/>
          <w:sz w:val="24"/>
        </w:rPr>
        <w:t>考生只准携带0.5毫米黑色墨水的签字笔、铅笔、圆规、直尺、三角板、橡皮等必需的文具用品</w:t>
      </w:r>
      <w:r w:rsidRPr="00C93958">
        <w:rPr>
          <w:rFonts w:ascii="宋体" w:hAnsi="宋体" w:hint="eastAsia"/>
          <w:sz w:val="24"/>
        </w:rPr>
        <w:t>。不可携带计算机器。</w:t>
      </w:r>
    </w:p>
    <w:p w:rsidR="00D36227" w:rsidRPr="00C93958" w:rsidRDefault="00632EDC">
      <w:pPr>
        <w:spacing w:line="360" w:lineRule="auto"/>
        <w:ind w:firstLineChars="200" w:firstLine="480"/>
        <w:rPr>
          <w:rFonts w:ascii="宋体" w:eastAsia="宋体" w:hAnsi="宋体" w:cs="宋体"/>
          <w:sz w:val="24"/>
        </w:rPr>
      </w:pPr>
      <w:r w:rsidRPr="00C93958">
        <w:rPr>
          <w:rFonts w:ascii="宋体" w:eastAsia="宋体" w:hAnsi="宋体" w:cs="宋体" w:hint="eastAsia"/>
          <w:sz w:val="24"/>
        </w:rPr>
        <w:t>（7）本课程考试命题的主要题型一般有单项选择题、填空题、名词解释题、简答题、论述题等题型。</w:t>
      </w:r>
    </w:p>
    <w:p w:rsidR="00D36227" w:rsidRDefault="00D36227">
      <w:pPr>
        <w:widowControl/>
        <w:shd w:val="clear" w:color="auto" w:fill="FFFFFF"/>
        <w:spacing w:line="600" w:lineRule="auto"/>
        <w:ind w:firstLine="420"/>
        <w:jc w:val="center"/>
        <w:rPr>
          <w:rFonts w:ascii="宋体" w:hAnsi="宋体" w:cs="宋体"/>
          <w:b/>
          <w:bCs/>
          <w:color w:val="000000"/>
          <w:kern w:val="0"/>
          <w:sz w:val="28"/>
          <w:szCs w:val="28"/>
        </w:rPr>
      </w:pPr>
    </w:p>
    <w:p w:rsidR="00C93958" w:rsidRDefault="00C93958">
      <w:pPr>
        <w:widowControl/>
        <w:shd w:val="clear" w:color="auto" w:fill="FFFFFF"/>
        <w:spacing w:line="600" w:lineRule="auto"/>
        <w:ind w:firstLine="420"/>
        <w:jc w:val="center"/>
        <w:rPr>
          <w:rFonts w:ascii="宋体" w:hAnsi="宋体" w:cs="宋体"/>
          <w:b/>
          <w:bCs/>
          <w:color w:val="000000"/>
          <w:kern w:val="0"/>
          <w:sz w:val="28"/>
          <w:szCs w:val="28"/>
        </w:rPr>
      </w:pPr>
    </w:p>
    <w:p w:rsidR="00C93958" w:rsidRDefault="00C93958">
      <w:pPr>
        <w:widowControl/>
        <w:shd w:val="clear" w:color="auto" w:fill="FFFFFF"/>
        <w:spacing w:line="600" w:lineRule="auto"/>
        <w:ind w:firstLine="420"/>
        <w:jc w:val="center"/>
        <w:rPr>
          <w:rFonts w:ascii="宋体" w:hAnsi="宋体" w:cs="宋体"/>
          <w:b/>
          <w:bCs/>
          <w:color w:val="000000"/>
          <w:kern w:val="0"/>
          <w:sz w:val="28"/>
          <w:szCs w:val="28"/>
        </w:rPr>
      </w:pPr>
    </w:p>
    <w:p w:rsidR="00D36227" w:rsidRDefault="00632EDC">
      <w:pPr>
        <w:widowControl/>
        <w:shd w:val="clear" w:color="auto" w:fill="FFFFFF"/>
        <w:spacing w:line="600" w:lineRule="auto"/>
        <w:ind w:firstLine="420"/>
        <w:jc w:val="center"/>
        <w:rPr>
          <w:rFonts w:ascii="宋体" w:hAnsi="宋体" w:cs="宋体"/>
          <w:color w:val="000000"/>
          <w:kern w:val="0"/>
          <w:sz w:val="28"/>
          <w:szCs w:val="28"/>
        </w:rPr>
      </w:pPr>
      <w:r>
        <w:rPr>
          <w:rFonts w:ascii="宋体" w:hAnsi="宋体" w:cs="宋体" w:hint="eastAsia"/>
          <w:b/>
          <w:bCs/>
          <w:color w:val="000000"/>
          <w:kern w:val="0"/>
          <w:sz w:val="28"/>
          <w:szCs w:val="28"/>
        </w:rPr>
        <w:lastRenderedPageBreak/>
        <w:t>附录  题型举例</w:t>
      </w:r>
    </w:p>
    <w:p w:rsidR="00D36227" w:rsidRDefault="00632EDC">
      <w:pPr>
        <w:spacing w:line="360" w:lineRule="auto"/>
        <w:ind w:firstLineChars="200" w:firstLine="422"/>
        <w:rPr>
          <w:rFonts w:ascii="宋体" w:eastAsia="宋体" w:hAnsi="宋体" w:cs="宋体"/>
          <w:szCs w:val="21"/>
        </w:rPr>
      </w:pPr>
      <w:r>
        <w:rPr>
          <w:rFonts w:ascii="宋体" w:eastAsia="宋体" w:hAnsi="宋体" w:cs="宋体" w:hint="eastAsia"/>
          <w:b/>
          <w:bCs/>
          <w:szCs w:val="21"/>
        </w:rPr>
        <w:t>一、单项选择题</w:t>
      </w:r>
      <w:r>
        <w:rPr>
          <w:rFonts w:ascii="宋体" w:eastAsia="宋体" w:hAnsi="宋体" w:cs="宋体" w:hint="eastAsia"/>
          <w:szCs w:val="21"/>
        </w:rPr>
        <w:t>（在每小题列出的四个备选项中只有一个是符合题目要求的，请将其代码填写在题后的括号内。错选、多选或未选均无分。）</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1.下列不属于非营利组织特征的是(   )。</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A.民间性     B.强制性     C.非政治性     D.非宗教性</w:t>
      </w:r>
    </w:p>
    <w:p w:rsidR="00D36227" w:rsidRDefault="00632EDC">
      <w:pPr>
        <w:spacing w:line="360" w:lineRule="auto"/>
        <w:ind w:firstLineChars="200" w:firstLine="420"/>
        <w:rPr>
          <w:rFonts w:ascii="宋体" w:eastAsia="宋体" w:hAnsi="宋体" w:cs="宋体"/>
          <w:color w:val="FF0000"/>
          <w:szCs w:val="21"/>
        </w:rPr>
      </w:pPr>
      <w:r>
        <w:rPr>
          <w:rFonts w:ascii="宋体" w:eastAsia="宋体" w:hAnsi="宋体" w:cs="宋体" w:hint="eastAsia"/>
          <w:szCs w:val="21"/>
        </w:rPr>
        <w:t>参考答案：B</w:t>
      </w:r>
    </w:p>
    <w:p w:rsidR="00D36227" w:rsidRDefault="00632ED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二、填空题</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1.现代社会资源配置的三个基本机制包括政府、社会和</w:t>
      </w:r>
      <w:r w:rsidR="00C93958" w:rsidRPr="00C93958">
        <w:rPr>
          <w:rFonts w:ascii="宋体" w:eastAsia="宋体" w:hAnsi="宋体" w:cs="宋体" w:hint="eastAsia"/>
          <w:szCs w:val="21"/>
          <w:u w:val="single"/>
        </w:rPr>
        <w:t xml:space="preserve"> </w:t>
      </w:r>
      <w:r w:rsidR="00C93958" w:rsidRPr="00C93958">
        <w:rPr>
          <w:rFonts w:ascii="宋体" w:eastAsia="宋体" w:hAnsi="宋体" w:cs="宋体"/>
          <w:szCs w:val="21"/>
          <w:u w:val="single"/>
        </w:rPr>
        <w:t xml:space="preserve">         </w:t>
      </w:r>
      <w:r>
        <w:rPr>
          <w:rFonts w:ascii="宋体" w:eastAsia="宋体" w:hAnsi="宋体" w:cs="宋体" w:hint="eastAsia"/>
          <w:szCs w:val="21"/>
        </w:rPr>
        <w:t>。</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参考答案：市场</w:t>
      </w:r>
    </w:p>
    <w:p w:rsidR="00D36227" w:rsidRDefault="00632ED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三、名词解释题</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1.事业</w:t>
      </w:r>
    </w:p>
    <w:p w:rsidR="00C93958"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事业是指人们所从事的，具有一定目标、规模和系统的对社会发展有影响的经常活动，是没有生产性收入，由国家经费开支，不进行经济核算的社会活动，如教育事业、文化事业、科学事业、卫生事业、公用事业等。</w:t>
      </w:r>
    </w:p>
    <w:p w:rsidR="00D36227" w:rsidRDefault="00632ED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四、简答题</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1.简述当代公共服务供给方式。</w:t>
      </w:r>
    </w:p>
    <w:p w:rsidR="00C93958"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（1）公共提供；（2）市场提供；（3）混合提供。</w:t>
      </w:r>
    </w:p>
    <w:p w:rsidR="00D36227" w:rsidRDefault="00632ED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五、论述题</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1.试论公共事业管理问题成立的前提条件。</w:t>
      </w:r>
    </w:p>
    <w:p w:rsidR="00C93958"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p>
    <w:p w:rsidR="00D36227" w:rsidRDefault="00632EDC">
      <w:pPr>
        <w:spacing w:line="360" w:lineRule="auto"/>
        <w:ind w:firstLineChars="200" w:firstLine="420"/>
        <w:rPr>
          <w:rFonts w:ascii="宋体" w:eastAsia="宋体" w:hAnsi="宋体" w:cs="宋体"/>
          <w:szCs w:val="21"/>
        </w:rPr>
      </w:pPr>
      <w:r>
        <w:rPr>
          <w:rFonts w:ascii="宋体" w:eastAsia="宋体" w:hAnsi="宋体" w:cs="宋体" w:hint="eastAsia"/>
          <w:szCs w:val="21"/>
        </w:rPr>
        <w:t>（1）它必须是一种客观存在的状态，即作为公共事业管理对象的社会问题应当是客观存在的事实。（2）它必须是公共事业管理决策者所察觉和认知的。（3）它必须具有公共性，即这一社会问题应是绝大多数人所关注的问题，涉及绝大多数人利益的问题。（4）它是一种有必要在当前加以解决的公共性问题。</w:t>
      </w:r>
    </w:p>
    <w:p w:rsidR="00D36227" w:rsidRDefault="00D36227">
      <w:pPr>
        <w:spacing w:line="360" w:lineRule="auto"/>
        <w:ind w:firstLineChars="200" w:firstLine="420"/>
        <w:rPr>
          <w:rFonts w:ascii="宋体" w:eastAsia="宋体" w:hAnsi="宋体" w:cs="宋体"/>
          <w:szCs w:val="21"/>
        </w:rPr>
      </w:pPr>
    </w:p>
    <w:sectPr w:rsidR="00D3622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707" w:rsidRDefault="00430707">
      <w:r>
        <w:separator/>
      </w:r>
    </w:p>
  </w:endnote>
  <w:endnote w:type="continuationSeparator" w:id="0">
    <w:p w:rsidR="00430707" w:rsidRDefault="0043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27" w:rsidRDefault="00632ED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6227" w:rsidRDefault="00632EDC">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6227" w:rsidRDefault="00632EDC">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707" w:rsidRDefault="00430707">
      <w:r>
        <w:separator/>
      </w:r>
    </w:p>
  </w:footnote>
  <w:footnote w:type="continuationSeparator" w:id="0">
    <w:p w:rsidR="00430707" w:rsidRDefault="0043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27" w:rsidRDefault="00D362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NWQzM2JiOGRiOTI0MTM5Y2VmNDllYmE1NjM3MmQifQ=="/>
  </w:docVars>
  <w:rsids>
    <w:rsidRoot w:val="00D36227"/>
    <w:rsid w:val="000F4C37"/>
    <w:rsid w:val="002B247F"/>
    <w:rsid w:val="003F02B7"/>
    <w:rsid w:val="00430707"/>
    <w:rsid w:val="00632EDC"/>
    <w:rsid w:val="00734BC2"/>
    <w:rsid w:val="00A3470B"/>
    <w:rsid w:val="00AE6E44"/>
    <w:rsid w:val="00B22BA0"/>
    <w:rsid w:val="00C93958"/>
    <w:rsid w:val="00D36227"/>
    <w:rsid w:val="00FB23E0"/>
    <w:rsid w:val="01001B5E"/>
    <w:rsid w:val="010348D5"/>
    <w:rsid w:val="0112363F"/>
    <w:rsid w:val="011E3D92"/>
    <w:rsid w:val="01785B98"/>
    <w:rsid w:val="017B2286"/>
    <w:rsid w:val="02062685"/>
    <w:rsid w:val="02581525"/>
    <w:rsid w:val="025C7268"/>
    <w:rsid w:val="032057E6"/>
    <w:rsid w:val="033124A2"/>
    <w:rsid w:val="035937A7"/>
    <w:rsid w:val="03735FDC"/>
    <w:rsid w:val="037B5ECB"/>
    <w:rsid w:val="03DB2A3D"/>
    <w:rsid w:val="03DD6186"/>
    <w:rsid w:val="04770389"/>
    <w:rsid w:val="04A15A81"/>
    <w:rsid w:val="05F4503E"/>
    <w:rsid w:val="061E6CA0"/>
    <w:rsid w:val="062B1CE3"/>
    <w:rsid w:val="071460A8"/>
    <w:rsid w:val="0777244E"/>
    <w:rsid w:val="0855115A"/>
    <w:rsid w:val="086230FE"/>
    <w:rsid w:val="089A5372"/>
    <w:rsid w:val="08AA0601"/>
    <w:rsid w:val="0AB039BC"/>
    <w:rsid w:val="0B3C7C36"/>
    <w:rsid w:val="0B61769D"/>
    <w:rsid w:val="0B67006E"/>
    <w:rsid w:val="0BE87588"/>
    <w:rsid w:val="0C257FE0"/>
    <w:rsid w:val="0C360F18"/>
    <w:rsid w:val="0CC779D3"/>
    <w:rsid w:val="0CFF716D"/>
    <w:rsid w:val="0D5079C9"/>
    <w:rsid w:val="0D814D9C"/>
    <w:rsid w:val="0D8414A2"/>
    <w:rsid w:val="0DB53CD0"/>
    <w:rsid w:val="0E4B7A63"/>
    <w:rsid w:val="0E981627"/>
    <w:rsid w:val="0EB9159E"/>
    <w:rsid w:val="0F2729AB"/>
    <w:rsid w:val="0F7B6853"/>
    <w:rsid w:val="0F7D6A6F"/>
    <w:rsid w:val="0FC65D20"/>
    <w:rsid w:val="0FF860F6"/>
    <w:rsid w:val="10450B30"/>
    <w:rsid w:val="10D34B99"/>
    <w:rsid w:val="10E16B8A"/>
    <w:rsid w:val="111156C1"/>
    <w:rsid w:val="1182036D"/>
    <w:rsid w:val="121B1E31"/>
    <w:rsid w:val="12BB3B36"/>
    <w:rsid w:val="13B16B0C"/>
    <w:rsid w:val="14F275B8"/>
    <w:rsid w:val="1671529E"/>
    <w:rsid w:val="16812E3A"/>
    <w:rsid w:val="16976D9C"/>
    <w:rsid w:val="16B668EA"/>
    <w:rsid w:val="17076D19"/>
    <w:rsid w:val="1718666A"/>
    <w:rsid w:val="17614581"/>
    <w:rsid w:val="176C77AE"/>
    <w:rsid w:val="180F4EF7"/>
    <w:rsid w:val="18243F2C"/>
    <w:rsid w:val="18316649"/>
    <w:rsid w:val="18367470"/>
    <w:rsid w:val="18495740"/>
    <w:rsid w:val="187F1162"/>
    <w:rsid w:val="18F41B50"/>
    <w:rsid w:val="193247C0"/>
    <w:rsid w:val="19B12C00"/>
    <w:rsid w:val="1A0E6C42"/>
    <w:rsid w:val="1B6A60FA"/>
    <w:rsid w:val="1B854CE1"/>
    <w:rsid w:val="1BD4437F"/>
    <w:rsid w:val="1BDC68CC"/>
    <w:rsid w:val="1CC96E50"/>
    <w:rsid w:val="1CFC68C4"/>
    <w:rsid w:val="1E1D2401"/>
    <w:rsid w:val="1E450758"/>
    <w:rsid w:val="1E4C7D38"/>
    <w:rsid w:val="1E613436"/>
    <w:rsid w:val="1E65704C"/>
    <w:rsid w:val="1E674B72"/>
    <w:rsid w:val="1E726C52"/>
    <w:rsid w:val="1E8F5E77"/>
    <w:rsid w:val="1FE31B63"/>
    <w:rsid w:val="1FE521F3"/>
    <w:rsid w:val="20270A5D"/>
    <w:rsid w:val="203767C6"/>
    <w:rsid w:val="208B5662"/>
    <w:rsid w:val="20B47E17"/>
    <w:rsid w:val="20F9148D"/>
    <w:rsid w:val="216E3AFF"/>
    <w:rsid w:val="226830C0"/>
    <w:rsid w:val="226E4DF6"/>
    <w:rsid w:val="233F369E"/>
    <w:rsid w:val="23871813"/>
    <w:rsid w:val="23B5012E"/>
    <w:rsid w:val="23D32156"/>
    <w:rsid w:val="23E72496"/>
    <w:rsid w:val="23FF13A9"/>
    <w:rsid w:val="240E783E"/>
    <w:rsid w:val="25A246E2"/>
    <w:rsid w:val="25B83F05"/>
    <w:rsid w:val="25DC5E46"/>
    <w:rsid w:val="264D0AF2"/>
    <w:rsid w:val="266C7F2B"/>
    <w:rsid w:val="268D5392"/>
    <w:rsid w:val="26E56F7C"/>
    <w:rsid w:val="273D4376"/>
    <w:rsid w:val="27E45486"/>
    <w:rsid w:val="285F4B0C"/>
    <w:rsid w:val="286E4D4F"/>
    <w:rsid w:val="29080D00"/>
    <w:rsid w:val="298E38FB"/>
    <w:rsid w:val="2AFE060C"/>
    <w:rsid w:val="2B006133"/>
    <w:rsid w:val="2B471FB3"/>
    <w:rsid w:val="2B7B1C5D"/>
    <w:rsid w:val="2C0359EB"/>
    <w:rsid w:val="2C622E1D"/>
    <w:rsid w:val="2C960461"/>
    <w:rsid w:val="2D373CAA"/>
    <w:rsid w:val="2D3B5B48"/>
    <w:rsid w:val="2E0C1292"/>
    <w:rsid w:val="2F6D4E20"/>
    <w:rsid w:val="2FC71915"/>
    <w:rsid w:val="2FD44023"/>
    <w:rsid w:val="2FEF49C8"/>
    <w:rsid w:val="301D1535"/>
    <w:rsid w:val="3062519A"/>
    <w:rsid w:val="30A0310C"/>
    <w:rsid w:val="30D90F2E"/>
    <w:rsid w:val="310602FE"/>
    <w:rsid w:val="31442AF1"/>
    <w:rsid w:val="314F3970"/>
    <w:rsid w:val="32331D4C"/>
    <w:rsid w:val="32933D30"/>
    <w:rsid w:val="32BD0DAD"/>
    <w:rsid w:val="32BD2D68"/>
    <w:rsid w:val="330C4ED2"/>
    <w:rsid w:val="330C763F"/>
    <w:rsid w:val="3398258C"/>
    <w:rsid w:val="33C078E7"/>
    <w:rsid w:val="34254E5C"/>
    <w:rsid w:val="34594B05"/>
    <w:rsid w:val="349A7161"/>
    <w:rsid w:val="36A77DAA"/>
    <w:rsid w:val="372238D5"/>
    <w:rsid w:val="372D5F54"/>
    <w:rsid w:val="375154D0"/>
    <w:rsid w:val="37B00EE0"/>
    <w:rsid w:val="37B320BF"/>
    <w:rsid w:val="380B4369"/>
    <w:rsid w:val="38301AEE"/>
    <w:rsid w:val="39602492"/>
    <w:rsid w:val="39B34CB8"/>
    <w:rsid w:val="39CE2A82"/>
    <w:rsid w:val="3A06303A"/>
    <w:rsid w:val="3A241712"/>
    <w:rsid w:val="3A281202"/>
    <w:rsid w:val="3A802DEC"/>
    <w:rsid w:val="3AA30888"/>
    <w:rsid w:val="3B0E03F8"/>
    <w:rsid w:val="3B4E088E"/>
    <w:rsid w:val="3B5A188F"/>
    <w:rsid w:val="3BA42B0A"/>
    <w:rsid w:val="3BDE202E"/>
    <w:rsid w:val="3BE455FD"/>
    <w:rsid w:val="3BF84C04"/>
    <w:rsid w:val="3BFD046C"/>
    <w:rsid w:val="3C0E0CD0"/>
    <w:rsid w:val="3CA37266"/>
    <w:rsid w:val="3CAD59EE"/>
    <w:rsid w:val="3EB412B6"/>
    <w:rsid w:val="3EBA1171"/>
    <w:rsid w:val="3F454604"/>
    <w:rsid w:val="3FB13A48"/>
    <w:rsid w:val="3FCF6389"/>
    <w:rsid w:val="406B1E48"/>
    <w:rsid w:val="407F58F4"/>
    <w:rsid w:val="40E804F3"/>
    <w:rsid w:val="411249BA"/>
    <w:rsid w:val="418344AC"/>
    <w:rsid w:val="4185518C"/>
    <w:rsid w:val="41C71300"/>
    <w:rsid w:val="421309EA"/>
    <w:rsid w:val="430A4CA0"/>
    <w:rsid w:val="431A7B56"/>
    <w:rsid w:val="435C1F1C"/>
    <w:rsid w:val="438F22F2"/>
    <w:rsid w:val="43BE4985"/>
    <w:rsid w:val="451A067B"/>
    <w:rsid w:val="451B4EB9"/>
    <w:rsid w:val="458A0FC3"/>
    <w:rsid w:val="45BB117C"/>
    <w:rsid w:val="46405B25"/>
    <w:rsid w:val="465A541B"/>
    <w:rsid w:val="46BA7686"/>
    <w:rsid w:val="470B7EE1"/>
    <w:rsid w:val="473E3C1E"/>
    <w:rsid w:val="47ED5839"/>
    <w:rsid w:val="48375EBE"/>
    <w:rsid w:val="48693111"/>
    <w:rsid w:val="48B505FD"/>
    <w:rsid w:val="48CC36A0"/>
    <w:rsid w:val="492C3F04"/>
    <w:rsid w:val="493A2970"/>
    <w:rsid w:val="49C56A6D"/>
    <w:rsid w:val="49E05655"/>
    <w:rsid w:val="4A281AD4"/>
    <w:rsid w:val="4A2E4213"/>
    <w:rsid w:val="4A996B9F"/>
    <w:rsid w:val="4AC07235"/>
    <w:rsid w:val="4ACC3E2B"/>
    <w:rsid w:val="4B294DDA"/>
    <w:rsid w:val="4B661B8A"/>
    <w:rsid w:val="4B9A1834"/>
    <w:rsid w:val="4B9A5F18"/>
    <w:rsid w:val="4BD96800"/>
    <w:rsid w:val="4BEF7DD1"/>
    <w:rsid w:val="4C0F5D7E"/>
    <w:rsid w:val="4C1A4723"/>
    <w:rsid w:val="4C667968"/>
    <w:rsid w:val="4D13189E"/>
    <w:rsid w:val="4D192548"/>
    <w:rsid w:val="4D333CEE"/>
    <w:rsid w:val="4D3D4B6D"/>
    <w:rsid w:val="4D891B60"/>
    <w:rsid w:val="4D9E1AAF"/>
    <w:rsid w:val="4DA55C17"/>
    <w:rsid w:val="4DCA28A4"/>
    <w:rsid w:val="4E3E7C6D"/>
    <w:rsid w:val="4EB86BA1"/>
    <w:rsid w:val="4F1A0315"/>
    <w:rsid w:val="4F2064F4"/>
    <w:rsid w:val="4F277882"/>
    <w:rsid w:val="4F3F4BCC"/>
    <w:rsid w:val="4F641A1E"/>
    <w:rsid w:val="501C4F0D"/>
    <w:rsid w:val="504F0E3F"/>
    <w:rsid w:val="508F2C48"/>
    <w:rsid w:val="50AA2519"/>
    <w:rsid w:val="51101BDA"/>
    <w:rsid w:val="518E3BE9"/>
    <w:rsid w:val="51E1640E"/>
    <w:rsid w:val="52354064"/>
    <w:rsid w:val="525210BA"/>
    <w:rsid w:val="527903F5"/>
    <w:rsid w:val="52894E04"/>
    <w:rsid w:val="529214B7"/>
    <w:rsid w:val="52E53CDC"/>
    <w:rsid w:val="532742F5"/>
    <w:rsid w:val="537B4811"/>
    <w:rsid w:val="53D31D87"/>
    <w:rsid w:val="53FD4FCB"/>
    <w:rsid w:val="54014CAD"/>
    <w:rsid w:val="54971006"/>
    <w:rsid w:val="54C16083"/>
    <w:rsid w:val="54EA382C"/>
    <w:rsid w:val="552F47FA"/>
    <w:rsid w:val="5559450E"/>
    <w:rsid w:val="55DB5C43"/>
    <w:rsid w:val="55E62245"/>
    <w:rsid w:val="55E86422"/>
    <w:rsid w:val="564E1B99"/>
    <w:rsid w:val="56D67F8E"/>
    <w:rsid w:val="56FC15F5"/>
    <w:rsid w:val="571921A6"/>
    <w:rsid w:val="57B1418D"/>
    <w:rsid w:val="57CD4D3F"/>
    <w:rsid w:val="58A957AC"/>
    <w:rsid w:val="58AB32D2"/>
    <w:rsid w:val="58C6010C"/>
    <w:rsid w:val="58CB5722"/>
    <w:rsid w:val="58D345D7"/>
    <w:rsid w:val="5A821E11"/>
    <w:rsid w:val="5ABD72ED"/>
    <w:rsid w:val="5AD54636"/>
    <w:rsid w:val="5AF35D72"/>
    <w:rsid w:val="5B4A3CCD"/>
    <w:rsid w:val="5B7737EC"/>
    <w:rsid w:val="5BBE331C"/>
    <w:rsid w:val="5BC30933"/>
    <w:rsid w:val="5BEC60DC"/>
    <w:rsid w:val="5C317F92"/>
    <w:rsid w:val="5C481AB2"/>
    <w:rsid w:val="5D323FC2"/>
    <w:rsid w:val="5DCA41FA"/>
    <w:rsid w:val="5F204A17"/>
    <w:rsid w:val="5F672CDA"/>
    <w:rsid w:val="5F7F7267"/>
    <w:rsid w:val="5F8F74AA"/>
    <w:rsid w:val="5FDF0690"/>
    <w:rsid w:val="5FE8712C"/>
    <w:rsid w:val="60714E01"/>
    <w:rsid w:val="608A7D23"/>
    <w:rsid w:val="61120392"/>
    <w:rsid w:val="61227EAA"/>
    <w:rsid w:val="615269E1"/>
    <w:rsid w:val="61665FE8"/>
    <w:rsid w:val="61A010EE"/>
    <w:rsid w:val="61A905CB"/>
    <w:rsid w:val="61B022A0"/>
    <w:rsid w:val="61E41603"/>
    <w:rsid w:val="61ED6709"/>
    <w:rsid w:val="62AF7E63"/>
    <w:rsid w:val="62C751AC"/>
    <w:rsid w:val="62CC631F"/>
    <w:rsid w:val="62CD2097"/>
    <w:rsid w:val="62E55633"/>
    <w:rsid w:val="62EE600A"/>
    <w:rsid w:val="6337176B"/>
    <w:rsid w:val="634405AB"/>
    <w:rsid w:val="64234664"/>
    <w:rsid w:val="64F877F7"/>
    <w:rsid w:val="65735178"/>
    <w:rsid w:val="658A426F"/>
    <w:rsid w:val="66090C2E"/>
    <w:rsid w:val="66214BD4"/>
    <w:rsid w:val="66967370"/>
    <w:rsid w:val="66B27F22"/>
    <w:rsid w:val="6707201B"/>
    <w:rsid w:val="673C7587"/>
    <w:rsid w:val="67713939"/>
    <w:rsid w:val="677671A1"/>
    <w:rsid w:val="67896ED4"/>
    <w:rsid w:val="67956417"/>
    <w:rsid w:val="68965DC4"/>
    <w:rsid w:val="689F6284"/>
    <w:rsid w:val="68A94161"/>
    <w:rsid w:val="69E9221C"/>
    <w:rsid w:val="69FC1BE0"/>
    <w:rsid w:val="6A3D5D54"/>
    <w:rsid w:val="6A4315BC"/>
    <w:rsid w:val="6AE52674"/>
    <w:rsid w:val="6AF9611F"/>
    <w:rsid w:val="6B8A340A"/>
    <w:rsid w:val="6BF6265F"/>
    <w:rsid w:val="6C2076DB"/>
    <w:rsid w:val="6C5B259A"/>
    <w:rsid w:val="6C7C50E1"/>
    <w:rsid w:val="6CF070AE"/>
    <w:rsid w:val="6D635AD2"/>
    <w:rsid w:val="6E313E22"/>
    <w:rsid w:val="6E9F1754"/>
    <w:rsid w:val="6EAD1CE7"/>
    <w:rsid w:val="6EE964AB"/>
    <w:rsid w:val="6F0836B5"/>
    <w:rsid w:val="6F445ECF"/>
    <w:rsid w:val="6FB22D40"/>
    <w:rsid w:val="709C0585"/>
    <w:rsid w:val="712832BA"/>
    <w:rsid w:val="71445C1A"/>
    <w:rsid w:val="72141A90"/>
    <w:rsid w:val="72200435"/>
    <w:rsid w:val="722C0B88"/>
    <w:rsid w:val="725B146D"/>
    <w:rsid w:val="729A1F96"/>
    <w:rsid w:val="729D1A86"/>
    <w:rsid w:val="73593BFF"/>
    <w:rsid w:val="737C169B"/>
    <w:rsid w:val="73AF3090"/>
    <w:rsid w:val="73B76B77"/>
    <w:rsid w:val="74133AA6"/>
    <w:rsid w:val="74142737"/>
    <w:rsid w:val="74343EE5"/>
    <w:rsid w:val="7443665D"/>
    <w:rsid w:val="74D95FF7"/>
    <w:rsid w:val="74E1248C"/>
    <w:rsid w:val="75235525"/>
    <w:rsid w:val="756E14B8"/>
    <w:rsid w:val="75D457BF"/>
    <w:rsid w:val="768076F4"/>
    <w:rsid w:val="76F94BF2"/>
    <w:rsid w:val="778D20C9"/>
    <w:rsid w:val="77DC6BAC"/>
    <w:rsid w:val="78393FFF"/>
    <w:rsid w:val="78536FED"/>
    <w:rsid w:val="78B91036"/>
    <w:rsid w:val="78D6184E"/>
    <w:rsid w:val="78E526C4"/>
    <w:rsid w:val="78F11063"/>
    <w:rsid w:val="799A0ACD"/>
    <w:rsid w:val="79EB757B"/>
    <w:rsid w:val="7A301431"/>
    <w:rsid w:val="7A680BCB"/>
    <w:rsid w:val="7A721A4A"/>
    <w:rsid w:val="7A76659E"/>
    <w:rsid w:val="7A7C4677"/>
    <w:rsid w:val="7AD973D3"/>
    <w:rsid w:val="7B21012C"/>
    <w:rsid w:val="7B870969"/>
    <w:rsid w:val="7BC57958"/>
    <w:rsid w:val="7BD61B65"/>
    <w:rsid w:val="7C703D67"/>
    <w:rsid w:val="7CDC13FD"/>
    <w:rsid w:val="7D0746CC"/>
    <w:rsid w:val="7D6A4C5A"/>
    <w:rsid w:val="7DDE418A"/>
    <w:rsid w:val="7E123F73"/>
    <w:rsid w:val="7E8F2BCB"/>
    <w:rsid w:val="7E9412FA"/>
    <w:rsid w:val="7F171F61"/>
    <w:rsid w:val="7F686F78"/>
    <w:rsid w:val="7F6D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24F96"/>
  <w15:docId w15:val="{9A327AFB-35F4-4842-B347-50C198E2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2014-10-29T12:08:00Z</dcterms:created>
  <dcterms:modified xsi:type="dcterms:W3CDTF">2024-05-17T04:22:00Z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1F857BF9EAEA4DE7A99A284C463A489F_12</vt:lpwstr>
  </property>
</Properties>
</file>