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B56D7">
      <w:pPr>
        <w:pStyle w:val="2"/>
        <w:keepNext/>
        <w:keepLines/>
        <w:pageBreakBefore w:val="0"/>
        <w:widowControl w:val="0"/>
        <w:kinsoku/>
        <w:wordWrap/>
        <w:overflowPunct/>
        <w:topLinePunct w:val="0"/>
        <w:autoSpaceDE/>
        <w:autoSpaceDN/>
        <w:bidi w:val="0"/>
        <w:adjustRightInd/>
        <w:snapToGrid/>
        <w:spacing w:before="20" w:after="0" w:line="700" w:lineRule="exact"/>
        <w:textAlignment w:val="auto"/>
        <w:rPr>
          <w:rFonts w:ascii="Times New Roman" w:hAnsi="Times New Roman" w:cs="Times New Roman"/>
          <w:sz w:val="44"/>
          <w:szCs w:val="44"/>
        </w:rPr>
      </w:pPr>
      <w:bookmarkStart w:id="0" w:name="_Toc18549"/>
      <w:bookmarkStart w:id="1" w:name="_Toc2362"/>
      <w:bookmarkStart w:id="2" w:name="_Toc13058"/>
      <w:bookmarkStart w:id="3" w:name="_Toc5658"/>
      <w:bookmarkStart w:id="4" w:name="_Toc22866"/>
      <w:bookmarkStart w:id="5" w:name="_Toc29273"/>
      <w:bookmarkStart w:id="6" w:name="_Toc29836"/>
      <w:r>
        <w:rPr>
          <w:rFonts w:ascii="Times New Roman" w:hAnsi="Times New Roman" w:cs="Times New Roman"/>
          <w:sz w:val="44"/>
          <w:szCs w:val="44"/>
        </w:rPr>
        <w:t>盐城师范学院成人高等教育</w:t>
      </w:r>
      <w:bookmarkEnd w:id="0"/>
      <w:bookmarkEnd w:id="1"/>
      <w:bookmarkEnd w:id="2"/>
      <w:bookmarkEnd w:id="3"/>
      <w:bookmarkEnd w:id="4"/>
      <w:bookmarkEnd w:id="5"/>
      <w:bookmarkEnd w:id="6"/>
      <w:bookmarkStart w:id="7" w:name="_Toc14686"/>
    </w:p>
    <w:p w14:paraId="6B6B5946">
      <w:pPr>
        <w:pStyle w:val="2"/>
        <w:keepNext/>
        <w:keepLines/>
        <w:pageBreakBefore w:val="0"/>
        <w:widowControl w:val="0"/>
        <w:kinsoku/>
        <w:wordWrap/>
        <w:overflowPunct/>
        <w:topLinePunct w:val="0"/>
        <w:autoSpaceDE/>
        <w:autoSpaceDN/>
        <w:bidi w:val="0"/>
        <w:adjustRightInd/>
        <w:snapToGrid/>
        <w:spacing w:before="20" w:after="0" w:line="700" w:lineRule="exact"/>
        <w:textAlignment w:val="auto"/>
        <w:rPr>
          <w:rFonts w:ascii="Times New Roman" w:hAnsi="Times New Roman" w:cs="Times New Roman"/>
          <w:sz w:val="44"/>
          <w:szCs w:val="44"/>
        </w:rPr>
      </w:pPr>
      <w:r>
        <w:rPr>
          <w:rFonts w:ascii="Times New Roman" w:hAnsi="Times New Roman" w:cs="Times New Roman"/>
          <w:sz w:val="44"/>
          <w:szCs w:val="44"/>
        </w:rPr>
        <w:t>线上平台学习管理办法</w:t>
      </w:r>
    </w:p>
    <w:p w14:paraId="28D00F08">
      <w:pPr>
        <w:pStyle w:val="2"/>
        <w:keepNext/>
        <w:keepLines/>
        <w:pageBreakBefore w:val="0"/>
        <w:widowControl w:val="0"/>
        <w:kinsoku/>
        <w:wordWrap/>
        <w:overflowPunct/>
        <w:topLinePunct w:val="0"/>
        <w:autoSpaceDE/>
        <w:autoSpaceDN/>
        <w:bidi w:val="0"/>
        <w:adjustRightInd/>
        <w:snapToGrid/>
        <w:spacing w:before="0" w:after="313" w:afterLines="100" w:line="700" w:lineRule="exact"/>
        <w:textAlignment w:val="auto"/>
        <w:rPr>
          <w:rFonts w:ascii="Times New Roman" w:hAnsi="Times New Roman" w:cs="Times New Roman"/>
          <w:sz w:val="44"/>
          <w:szCs w:val="44"/>
        </w:rPr>
      </w:pPr>
      <w:r>
        <w:rPr>
          <w:rFonts w:ascii="Times New Roman" w:hAnsi="Times New Roman" w:cs="Times New Roman"/>
          <w:sz w:val="44"/>
          <w:szCs w:val="44"/>
        </w:rPr>
        <w:t>（试行）</w:t>
      </w:r>
      <w:bookmarkEnd w:id="7"/>
    </w:p>
    <w:p w14:paraId="50DD7A5A">
      <w:pPr>
        <w:pStyle w:val="3"/>
        <w:keepNext w:val="0"/>
        <w:keepLines w:val="0"/>
        <w:pageBreakBefore w:val="0"/>
        <w:widowControl w:val="0"/>
        <w:kinsoku/>
        <w:wordWrap/>
        <w:overflowPunct/>
        <w:topLinePunct w:val="0"/>
        <w:autoSpaceDE/>
        <w:autoSpaceDN/>
        <w:bidi w:val="0"/>
        <w:adjustRightInd/>
        <w:snapToGrid/>
        <w:spacing w:after="475" w:line="522" w:lineRule="exact"/>
        <w:textAlignment w:val="auto"/>
        <w:rPr>
          <w:rFonts w:hint="eastAsia" w:ascii="仿宋" w:hAnsi="仿宋" w:eastAsia="仿宋" w:cs="仿宋"/>
          <w:sz w:val="32"/>
          <w:szCs w:val="32"/>
        </w:rPr>
      </w:pPr>
      <w:bookmarkStart w:id="8" w:name="_Toc16262"/>
      <w:bookmarkStart w:id="9" w:name="_Toc6632"/>
      <w:bookmarkStart w:id="10" w:name="_Toc7540"/>
      <w:r>
        <w:rPr>
          <w:rFonts w:hint="eastAsia" w:ascii="仿宋" w:hAnsi="仿宋" w:eastAsia="仿宋" w:cs="仿宋"/>
          <w:sz w:val="32"/>
          <w:szCs w:val="32"/>
        </w:rPr>
        <w:t>盐师院成继〔2020〕12号</w:t>
      </w:r>
      <w:bookmarkEnd w:id="8"/>
      <w:bookmarkEnd w:id="9"/>
      <w:bookmarkEnd w:id="10"/>
    </w:p>
    <w:p w14:paraId="5BAB9D5E">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8"/>
          <w:rFonts w:hint="eastAsia" w:ascii="仿宋" w:hAnsi="仿宋" w:eastAsia="仿宋" w:cs="仿宋"/>
          <w:sz w:val="32"/>
          <w:szCs w:val="32"/>
          <w:lang w:val="en-US"/>
        </w:rPr>
      </w:pPr>
      <w:r>
        <w:rPr>
          <w:rStyle w:val="8"/>
          <w:rFonts w:hint="eastAsia" w:ascii="仿宋" w:hAnsi="仿宋" w:eastAsia="仿宋" w:cs="仿宋"/>
          <w:sz w:val="32"/>
          <w:szCs w:val="32"/>
          <w:lang w:val="en-US"/>
        </w:rPr>
        <w:t>第一章　总则</w:t>
      </w:r>
    </w:p>
    <w:p w14:paraId="61C114B6">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sz w:val="32"/>
          <w:szCs w:val="32"/>
          <w:lang w:val="en-US"/>
        </w:rPr>
      </w:pPr>
      <w:r>
        <w:rPr>
          <w:rStyle w:val="8"/>
          <w:rFonts w:hint="eastAsia" w:ascii="仿宋" w:hAnsi="仿宋" w:eastAsia="仿宋" w:cs="仿宋"/>
          <w:b/>
          <w:bCs/>
          <w:sz w:val="32"/>
          <w:szCs w:val="32"/>
          <w:lang w:val="en-US"/>
        </w:rPr>
        <w:t>第一条</w:t>
      </w:r>
      <w:r>
        <w:rPr>
          <w:rStyle w:val="8"/>
          <w:rFonts w:hint="eastAsia" w:ascii="仿宋" w:hAnsi="仿宋" w:eastAsia="仿宋" w:cs="仿宋"/>
          <w:sz w:val="32"/>
          <w:szCs w:val="32"/>
          <w:lang w:val="en-US"/>
        </w:rPr>
        <w:t xml:space="preserve"> 为适应成人高等教育改革发展的需要，进一步规范教学过程，提升办学水平，结合我校成人高等教育线上教学平台（以下简称“线上平台”）及课程资源服务建设实际，在我校成人高等教育开展“线上+线下”混合型教学方式改革试行工作。为确保线上平台学习各个环节有序实施，特制定本办法。</w:t>
      </w:r>
    </w:p>
    <w:p w14:paraId="474463BB">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sz w:val="32"/>
          <w:szCs w:val="32"/>
          <w:lang w:val="en-US"/>
        </w:rPr>
      </w:pPr>
      <w:r>
        <w:rPr>
          <w:rStyle w:val="8"/>
          <w:rFonts w:hint="eastAsia" w:ascii="仿宋" w:hAnsi="仿宋" w:eastAsia="仿宋" w:cs="仿宋"/>
          <w:b/>
          <w:bCs/>
          <w:sz w:val="32"/>
          <w:szCs w:val="32"/>
          <w:lang w:val="en-US"/>
        </w:rPr>
        <w:t>第二条</w:t>
      </w:r>
      <w:r>
        <w:rPr>
          <w:rStyle w:val="8"/>
          <w:rFonts w:hint="eastAsia" w:ascii="仿宋" w:hAnsi="仿宋" w:eastAsia="仿宋" w:cs="仿宋"/>
          <w:sz w:val="32"/>
          <w:szCs w:val="32"/>
          <w:lang w:val="en-US"/>
        </w:rPr>
        <w:t xml:space="preserve"> “线上+线下”混合型教学方式改革推行线上平台教学和线下传统面授相结合的教学方式，包含课程授课方式改革和课程评价（考核）方式改革。</w:t>
      </w:r>
    </w:p>
    <w:p w14:paraId="25B2E011">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sz w:val="32"/>
          <w:szCs w:val="32"/>
          <w:lang w:val="en-US"/>
        </w:rPr>
      </w:pPr>
      <w:r>
        <w:rPr>
          <w:rStyle w:val="8"/>
          <w:rFonts w:hint="eastAsia" w:ascii="仿宋" w:hAnsi="仿宋" w:eastAsia="仿宋" w:cs="仿宋"/>
          <w:b/>
          <w:bCs/>
          <w:sz w:val="32"/>
          <w:szCs w:val="32"/>
          <w:lang w:val="en-US"/>
        </w:rPr>
        <w:t>第三条</w:t>
      </w:r>
      <w:r>
        <w:rPr>
          <w:rStyle w:val="8"/>
          <w:rFonts w:hint="eastAsia" w:ascii="仿宋" w:hAnsi="仿宋" w:eastAsia="仿宋" w:cs="仿宋"/>
          <w:sz w:val="32"/>
          <w:szCs w:val="32"/>
          <w:lang w:val="en-US"/>
        </w:rPr>
        <w:t xml:space="preserve"> 各专业线下传统面授课时（含线下实验实训）不得低于总学时的三分之一。</w:t>
      </w:r>
    </w:p>
    <w:p w14:paraId="0257A085">
      <w:pPr>
        <w:keepNext w:val="0"/>
        <w:keepLines w:val="0"/>
        <w:pageBreakBefore w:val="0"/>
        <w:widowControl w:val="0"/>
        <w:kinsoku/>
        <w:wordWrap/>
        <w:overflowPunct/>
        <w:topLinePunct w:val="0"/>
        <w:autoSpaceDE/>
        <w:autoSpaceDN/>
        <w:bidi w:val="0"/>
        <w:adjustRightInd/>
        <w:snapToGrid/>
        <w:spacing w:line="522" w:lineRule="exact"/>
        <w:textAlignment w:val="auto"/>
        <w:rPr>
          <w:rStyle w:val="8"/>
          <w:rFonts w:hint="eastAsia" w:ascii="仿宋" w:hAnsi="仿宋" w:eastAsia="仿宋" w:cs="仿宋"/>
          <w:sz w:val="32"/>
          <w:szCs w:val="32"/>
          <w:lang w:val="en-US" w:eastAsia="zh-CN"/>
        </w:rPr>
      </w:pPr>
      <w:r>
        <w:rPr>
          <w:rStyle w:val="8"/>
          <w:rFonts w:hint="eastAsia" w:ascii="仿宋" w:hAnsi="仿宋" w:eastAsia="仿宋" w:cs="仿宋"/>
          <w:b/>
          <w:bCs/>
          <w:sz w:val="32"/>
          <w:szCs w:val="32"/>
          <w:lang w:val="en-US"/>
        </w:rPr>
        <w:t>第四条</w:t>
      </w:r>
      <w:r>
        <w:rPr>
          <w:rStyle w:val="8"/>
          <w:rFonts w:hint="eastAsia" w:ascii="仿宋" w:hAnsi="仿宋" w:eastAsia="仿宋" w:cs="仿宋"/>
          <w:sz w:val="32"/>
          <w:szCs w:val="32"/>
          <w:lang w:val="en-US"/>
        </w:rPr>
        <w:t xml:space="preserve"> 各专业根据具体情况，课程评价（考核）方式改革以学员学习态度、学习过程、学习能力、学</w:t>
      </w:r>
      <w:bookmarkStart w:id="11" w:name="_GoBack"/>
      <w:bookmarkEnd w:id="11"/>
      <w:r>
        <w:rPr>
          <w:rStyle w:val="8"/>
          <w:rFonts w:hint="eastAsia" w:ascii="仿宋" w:hAnsi="仿宋" w:eastAsia="仿宋" w:cs="仿宋"/>
          <w:sz w:val="32"/>
          <w:szCs w:val="32"/>
          <w:lang w:val="en-US"/>
        </w:rPr>
        <w:t>习成果等评价为核心，注重课程教学过程每一环节的评价，努力实现评价方式多元化</w:t>
      </w:r>
      <w:r>
        <w:rPr>
          <w:rStyle w:val="8"/>
          <w:rFonts w:hint="eastAsia" w:ascii="仿宋" w:hAnsi="仿宋" w:eastAsia="仿宋" w:cs="仿宋"/>
          <w:sz w:val="32"/>
          <w:szCs w:val="32"/>
          <w:lang w:val="en-US" w:eastAsia="zh-CN"/>
        </w:rPr>
        <w:t>。</w:t>
      </w:r>
    </w:p>
    <w:p w14:paraId="7DA4A6C6">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8"/>
          <w:rFonts w:hint="eastAsia" w:ascii="仿宋" w:hAnsi="仿宋" w:eastAsia="仿宋" w:cs="仿宋"/>
          <w:sz w:val="32"/>
          <w:szCs w:val="32"/>
          <w:lang w:val="en-US"/>
        </w:rPr>
      </w:pPr>
      <w:r>
        <w:rPr>
          <w:rStyle w:val="8"/>
          <w:rFonts w:hint="eastAsia" w:ascii="仿宋" w:hAnsi="仿宋" w:eastAsia="仿宋" w:cs="仿宋"/>
          <w:sz w:val="32"/>
          <w:szCs w:val="32"/>
          <w:lang w:val="en-US"/>
        </w:rPr>
        <w:t>第二章　组织实施</w:t>
      </w:r>
    </w:p>
    <w:p w14:paraId="309EF69D">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sz w:val="32"/>
          <w:szCs w:val="32"/>
          <w:lang w:val="en-US"/>
        </w:rPr>
      </w:pPr>
      <w:r>
        <w:rPr>
          <w:rStyle w:val="8"/>
          <w:rFonts w:hint="eastAsia" w:ascii="仿宋" w:hAnsi="仿宋" w:eastAsia="仿宋" w:cs="仿宋"/>
          <w:b/>
          <w:bCs/>
          <w:sz w:val="32"/>
          <w:szCs w:val="32"/>
          <w:lang w:val="en-US"/>
        </w:rPr>
        <w:t>第五条</w:t>
      </w:r>
      <w:r>
        <w:rPr>
          <w:rStyle w:val="8"/>
          <w:rFonts w:hint="eastAsia" w:ascii="仿宋" w:hAnsi="仿宋" w:eastAsia="仿宋" w:cs="仿宋"/>
          <w:sz w:val="32"/>
          <w:szCs w:val="32"/>
          <w:lang w:val="en-US"/>
        </w:rPr>
        <w:t xml:space="preserve"> 继续教育学院负责制度健全、教学督导、日常运行及管理培训等。</w:t>
      </w:r>
    </w:p>
    <w:p w14:paraId="5D67A21A">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b/>
          <w:bCs/>
          <w:sz w:val="32"/>
          <w:szCs w:val="32"/>
          <w:lang w:val="en-US"/>
        </w:rPr>
      </w:pPr>
      <w:r>
        <w:rPr>
          <w:rStyle w:val="8"/>
          <w:rFonts w:hint="eastAsia" w:ascii="仿宋" w:hAnsi="仿宋" w:eastAsia="仿宋" w:cs="仿宋"/>
          <w:b/>
          <w:bCs/>
          <w:sz w:val="32"/>
          <w:szCs w:val="32"/>
          <w:lang w:val="en-US"/>
        </w:rPr>
        <w:t>第六条</w:t>
      </w:r>
      <w:r>
        <w:rPr>
          <w:rStyle w:val="8"/>
          <w:rFonts w:hint="eastAsia" w:ascii="仿宋" w:hAnsi="仿宋" w:eastAsia="仿宋" w:cs="仿宋"/>
          <w:sz w:val="32"/>
          <w:szCs w:val="32"/>
          <w:lang w:val="en-US"/>
        </w:rPr>
        <w:t xml:space="preserve"> 二级学院（校外教学点）负责线上平台课程资源建设、课程安排、组织学员参加线上平台课程学习、及时掌握学员学习进展情况、督促学员完成学习任务并提供学习支持服务等。</w:t>
      </w:r>
    </w:p>
    <w:p w14:paraId="6BC29AB5">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b/>
          <w:bCs/>
          <w:sz w:val="32"/>
          <w:szCs w:val="32"/>
          <w:lang w:val="en-US"/>
        </w:rPr>
      </w:pPr>
      <w:r>
        <w:rPr>
          <w:rStyle w:val="8"/>
          <w:rFonts w:hint="eastAsia" w:ascii="仿宋" w:hAnsi="仿宋" w:eastAsia="仿宋" w:cs="仿宋"/>
          <w:b/>
          <w:bCs/>
          <w:sz w:val="32"/>
          <w:szCs w:val="32"/>
          <w:lang w:val="en-US"/>
        </w:rPr>
        <w:t xml:space="preserve">第七条 </w:t>
      </w:r>
      <w:r>
        <w:rPr>
          <w:rStyle w:val="8"/>
          <w:rFonts w:hint="eastAsia" w:ascii="仿宋" w:hAnsi="仿宋" w:eastAsia="仿宋" w:cs="仿宋"/>
          <w:sz w:val="32"/>
          <w:szCs w:val="32"/>
          <w:lang w:val="en-US"/>
        </w:rPr>
        <w:t xml:space="preserve">学员通过所在二级学院（校外教学点）获得学习账号，按时登录线上平台进行课程学习、线上作业（练习、测试）等，保质保量完成各种学习活动。 </w:t>
      </w:r>
      <w:r>
        <w:rPr>
          <w:rStyle w:val="8"/>
          <w:rFonts w:hint="eastAsia" w:ascii="仿宋" w:hAnsi="仿宋" w:eastAsia="仿宋" w:cs="仿宋"/>
          <w:b/>
          <w:bCs/>
          <w:sz w:val="32"/>
          <w:szCs w:val="32"/>
          <w:lang w:val="en-US"/>
        </w:rPr>
        <w:t xml:space="preserve"> </w:t>
      </w:r>
    </w:p>
    <w:p w14:paraId="23B5F4BC">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8"/>
          <w:rFonts w:hint="eastAsia" w:ascii="仿宋" w:hAnsi="仿宋" w:eastAsia="仿宋" w:cs="仿宋"/>
          <w:sz w:val="32"/>
          <w:szCs w:val="32"/>
          <w:lang w:val="en-US"/>
        </w:rPr>
      </w:pPr>
      <w:r>
        <w:rPr>
          <w:rStyle w:val="8"/>
          <w:rFonts w:hint="eastAsia" w:ascii="仿宋" w:hAnsi="仿宋" w:eastAsia="仿宋" w:cs="仿宋"/>
          <w:sz w:val="32"/>
          <w:szCs w:val="32"/>
          <w:lang w:val="en-US"/>
        </w:rPr>
        <w:t>第三章　课程考核</w:t>
      </w:r>
    </w:p>
    <w:p w14:paraId="167AA831">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sz w:val="32"/>
          <w:szCs w:val="32"/>
          <w:lang w:val="en-US"/>
        </w:rPr>
      </w:pPr>
      <w:r>
        <w:rPr>
          <w:rStyle w:val="8"/>
          <w:rFonts w:hint="eastAsia" w:ascii="仿宋" w:hAnsi="仿宋" w:eastAsia="仿宋" w:cs="仿宋"/>
          <w:b/>
          <w:bCs/>
          <w:sz w:val="32"/>
          <w:szCs w:val="32"/>
          <w:lang w:val="en-US"/>
        </w:rPr>
        <w:t>第八条</w:t>
      </w:r>
      <w:r>
        <w:rPr>
          <w:rStyle w:val="8"/>
          <w:rFonts w:hint="eastAsia" w:ascii="仿宋" w:hAnsi="仿宋" w:eastAsia="仿宋" w:cs="仿宋"/>
          <w:sz w:val="32"/>
          <w:szCs w:val="32"/>
          <w:lang w:val="en-US"/>
        </w:rPr>
        <w:t xml:space="preserve"> 纳入线上教学的课程，其课程最终成绩的评定由线上学习成绩和线下学习成绩两部分组成，按权重设定，线上学习成绩占30%，线下学习成绩占70%。按设定权重计算形成的总成绩即为该课程最终成绩。</w:t>
      </w:r>
    </w:p>
    <w:p w14:paraId="7A9315BF">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sz w:val="32"/>
          <w:szCs w:val="32"/>
          <w:lang w:val="en-US"/>
        </w:rPr>
      </w:pPr>
      <w:r>
        <w:rPr>
          <w:rStyle w:val="8"/>
          <w:rFonts w:hint="eastAsia" w:ascii="仿宋" w:hAnsi="仿宋" w:eastAsia="仿宋" w:cs="仿宋"/>
          <w:b/>
          <w:bCs/>
          <w:sz w:val="32"/>
          <w:szCs w:val="32"/>
          <w:lang w:val="en-US"/>
        </w:rPr>
        <w:t>第九条</w:t>
      </w:r>
      <w:r>
        <w:rPr>
          <w:rStyle w:val="8"/>
          <w:rFonts w:hint="eastAsia" w:ascii="仿宋" w:hAnsi="仿宋" w:eastAsia="仿宋" w:cs="仿宋"/>
          <w:sz w:val="32"/>
          <w:szCs w:val="32"/>
          <w:lang w:val="en-US"/>
        </w:rPr>
        <w:t xml:space="preserve"> 线上学习成绩的评定由线上学习时长、课程点播次数、线上作业（练习、测试）等部分组成，其中线上学习时长占10%，课程点播次数占10%，线上作业（练习、测试）占10%。</w:t>
      </w:r>
    </w:p>
    <w:p w14:paraId="77B63832">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sz w:val="32"/>
          <w:szCs w:val="32"/>
          <w:lang w:val="en-US"/>
        </w:rPr>
      </w:pPr>
      <w:r>
        <w:rPr>
          <w:rStyle w:val="8"/>
          <w:rFonts w:hint="eastAsia" w:ascii="仿宋" w:hAnsi="仿宋" w:eastAsia="仿宋" w:cs="仿宋"/>
          <w:b/>
          <w:bCs/>
          <w:sz w:val="32"/>
          <w:szCs w:val="32"/>
          <w:lang w:val="en-US"/>
        </w:rPr>
        <w:t>第十条</w:t>
      </w:r>
      <w:r>
        <w:rPr>
          <w:rStyle w:val="8"/>
          <w:rFonts w:hint="eastAsia" w:ascii="仿宋" w:hAnsi="仿宋" w:eastAsia="仿宋" w:cs="仿宋"/>
          <w:sz w:val="32"/>
          <w:szCs w:val="32"/>
          <w:lang w:val="en-US"/>
        </w:rPr>
        <w:t xml:space="preserve"> 线上平台课程教学按照教学进程表规定的时间进行，在相应线下考试前结束。学员完成规定的线上学习时长、课程点播次数及线上作业后，经继续教育学院审核确定，方可参加线下笔试考核。其中每门课程线上学习累积时长应不少于800分钟、点播次数不少于20次、线上作业（练习、测试）不少于2次。</w:t>
      </w:r>
    </w:p>
    <w:p w14:paraId="2496C117">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8"/>
          <w:rFonts w:hint="eastAsia" w:ascii="仿宋" w:hAnsi="仿宋" w:eastAsia="仿宋" w:cs="仿宋"/>
          <w:sz w:val="32"/>
          <w:szCs w:val="32"/>
          <w:lang w:val="en-US"/>
        </w:rPr>
      </w:pPr>
      <w:r>
        <w:rPr>
          <w:rStyle w:val="8"/>
          <w:rFonts w:hint="eastAsia" w:ascii="仿宋" w:hAnsi="仿宋" w:eastAsia="仿宋" w:cs="仿宋"/>
          <w:sz w:val="32"/>
          <w:szCs w:val="32"/>
          <w:lang w:val="en-US"/>
        </w:rPr>
        <w:t>凡线上学习累积时长或课程点播次数或完成线上作业次数达不到上述规定者，不能参加线下考试。</w:t>
      </w:r>
    </w:p>
    <w:p w14:paraId="467A4AA0">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sz w:val="32"/>
          <w:szCs w:val="32"/>
          <w:lang w:val="en-US"/>
        </w:rPr>
      </w:pPr>
      <w:r>
        <w:rPr>
          <w:rStyle w:val="8"/>
          <w:rFonts w:hint="eastAsia" w:ascii="仿宋" w:hAnsi="仿宋" w:eastAsia="仿宋" w:cs="仿宋"/>
          <w:b/>
          <w:bCs/>
          <w:sz w:val="32"/>
          <w:szCs w:val="32"/>
          <w:lang w:val="en-US"/>
        </w:rPr>
        <w:t>第十一条</w:t>
      </w:r>
      <w:r>
        <w:rPr>
          <w:rStyle w:val="8"/>
          <w:rFonts w:hint="eastAsia" w:ascii="仿宋" w:hAnsi="仿宋" w:eastAsia="仿宋" w:cs="仿宋"/>
          <w:sz w:val="32"/>
          <w:szCs w:val="32"/>
          <w:lang w:val="en-US"/>
        </w:rPr>
        <w:t xml:space="preserve"> 线下学习成绩的评定由线下考试成绩、线下作业、线下考勤等部分组成，其中线下考试成绩占50%、线下作业成绩占10%、线下考勤占10%。</w:t>
      </w:r>
    </w:p>
    <w:p w14:paraId="5C8DA999">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8"/>
          <w:rFonts w:hint="eastAsia" w:ascii="仿宋" w:hAnsi="仿宋" w:eastAsia="仿宋" w:cs="仿宋"/>
          <w:sz w:val="32"/>
          <w:szCs w:val="32"/>
          <w:lang w:val="en-US"/>
        </w:rPr>
      </w:pPr>
      <w:r>
        <w:rPr>
          <w:rStyle w:val="8"/>
          <w:rFonts w:hint="eastAsia" w:ascii="仿宋" w:hAnsi="仿宋" w:eastAsia="仿宋" w:cs="仿宋"/>
          <w:sz w:val="32"/>
          <w:szCs w:val="32"/>
          <w:lang w:val="en-US"/>
        </w:rPr>
        <w:t>凡线下作业未完成，或线下面授缺课（含请假）时数累计达到该课程面授学时数三分之一者或旷课时数累计达到该课程面授学时数四分之一者，不得参加该课程线下考试。</w:t>
      </w:r>
    </w:p>
    <w:p w14:paraId="41B04BBE">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sz w:val="32"/>
          <w:szCs w:val="32"/>
          <w:lang w:val="en-US"/>
        </w:rPr>
      </w:pPr>
      <w:r>
        <w:rPr>
          <w:rStyle w:val="8"/>
          <w:rFonts w:hint="eastAsia" w:ascii="仿宋" w:hAnsi="仿宋" w:eastAsia="仿宋" w:cs="仿宋"/>
          <w:b/>
          <w:bCs/>
          <w:sz w:val="32"/>
          <w:szCs w:val="32"/>
          <w:lang w:val="en-US"/>
        </w:rPr>
        <w:t>第十二条</w:t>
      </w:r>
      <w:r>
        <w:rPr>
          <w:rStyle w:val="8"/>
          <w:rFonts w:hint="eastAsia" w:ascii="仿宋" w:hAnsi="仿宋" w:eastAsia="仿宋" w:cs="仿宋"/>
          <w:sz w:val="32"/>
          <w:szCs w:val="32"/>
          <w:lang w:val="en-US"/>
        </w:rPr>
        <w:t xml:space="preserve"> 二级学院（校外教学点）要建立学员线上平台课程学习档案，将线下学习成绩导入平台与线上学习成绩进行合并计算，并将相关纸质材料报送至继续教育学院审核存档。</w:t>
      </w:r>
    </w:p>
    <w:p w14:paraId="235686DA">
      <w:pPr>
        <w:pStyle w:val="4"/>
        <w:keepNext w:val="0"/>
        <w:keepLines w:val="0"/>
        <w:pageBreakBefore w:val="0"/>
        <w:widowControl w:val="0"/>
        <w:kinsoku/>
        <w:wordWrap/>
        <w:overflowPunct/>
        <w:topLinePunct w:val="0"/>
        <w:autoSpaceDE/>
        <w:autoSpaceDN/>
        <w:bidi w:val="0"/>
        <w:adjustRightInd/>
        <w:snapToGrid/>
        <w:spacing w:before="158" w:beforeLines="50" w:after="158" w:afterLines="50" w:line="522" w:lineRule="exact"/>
        <w:ind w:firstLine="0" w:firstLineChars="0"/>
        <w:jc w:val="center"/>
        <w:textAlignment w:val="auto"/>
        <w:rPr>
          <w:rStyle w:val="8"/>
          <w:rFonts w:hint="eastAsia" w:ascii="仿宋" w:hAnsi="仿宋" w:eastAsia="仿宋" w:cs="仿宋"/>
          <w:sz w:val="32"/>
          <w:szCs w:val="32"/>
          <w:lang w:val="en-US"/>
        </w:rPr>
      </w:pPr>
      <w:r>
        <w:rPr>
          <w:rStyle w:val="8"/>
          <w:rFonts w:hint="eastAsia" w:ascii="仿宋" w:hAnsi="仿宋" w:eastAsia="仿宋" w:cs="仿宋"/>
          <w:sz w:val="32"/>
          <w:szCs w:val="32"/>
          <w:lang w:val="en-US"/>
        </w:rPr>
        <w:t>第四章　附则</w:t>
      </w:r>
    </w:p>
    <w:p w14:paraId="49800FF8">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8"/>
          <w:rFonts w:hint="eastAsia" w:ascii="仿宋" w:hAnsi="仿宋" w:eastAsia="仿宋" w:cs="仿宋"/>
          <w:sz w:val="32"/>
          <w:szCs w:val="32"/>
          <w:lang w:val="en-US"/>
        </w:rPr>
      </w:pPr>
      <w:r>
        <w:rPr>
          <w:rStyle w:val="8"/>
          <w:rFonts w:hint="eastAsia" w:ascii="仿宋" w:hAnsi="仿宋" w:eastAsia="仿宋" w:cs="仿宋"/>
          <w:b/>
          <w:bCs/>
          <w:sz w:val="32"/>
          <w:szCs w:val="32"/>
          <w:lang w:val="en-US"/>
        </w:rPr>
        <w:t>第十三条</w:t>
      </w:r>
      <w:r>
        <w:rPr>
          <w:rStyle w:val="8"/>
          <w:rFonts w:hint="eastAsia" w:ascii="仿宋" w:hAnsi="仿宋" w:eastAsia="仿宋" w:cs="仿宋"/>
          <w:sz w:val="32"/>
          <w:szCs w:val="32"/>
          <w:lang w:val="en-US"/>
        </w:rPr>
        <w:t xml:space="preserve"> 本办法自正式公布之日起施行，由盐城师范学院继续教育学院负责解释。</w:t>
      </w:r>
    </w:p>
    <w:p w14:paraId="41AEBE24">
      <w:pPr>
        <w:keepNext w:val="0"/>
        <w:keepLines w:val="0"/>
        <w:pageBreakBefore w:val="0"/>
        <w:widowControl w:val="0"/>
        <w:kinsoku/>
        <w:wordWrap/>
        <w:overflowPunct/>
        <w:topLinePunct w:val="0"/>
        <w:autoSpaceDE/>
        <w:autoSpaceDN/>
        <w:bidi w:val="0"/>
        <w:adjustRightInd/>
        <w:snapToGrid/>
        <w:spacing w:line="522" w:lineRule="exact"/>
        <w:textAlignment w:val="auto"/>
        <w:rPr>
          <w:rStyle w:val="8"/>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E13D89"/>
    <w:rsid w:val="01E13D89"/>
    <w:rsid w:val="02FD6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880" w:firstLineChars="20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60" w:after="330" w:line="576" w:lineRule="auto"/>
      <w:ind w:firstLine="0" w:firstLineChars="0"/>
      <w:jc w:val="center"/>
      <w:outlineLvl w:val="0"/>
    </w:pPr>
    <w:rPr>
      <w:rFonts w:eastAsia="方正小标宋_GBK"/>
      <w:kern w:val="44"/>
      <w:sz w:val="36"/>
    </w:rPr>
  </w:style>
  <w:style w:type="paragraph" w:styleId="3">
    <w:name w:val="heading 3"/>
    <w:basedOn w:val="1"/>
    <w:next w:val="1"/>
    <w:qFormat/>
    <w:uiPriority w:val="0"/>
    <w:pPr>
      <w:spacing w:after="150" w:afterLines="150"/>
      <w:ind w:firstLine="0" w:firstLineChars="0"/>
      <w:jc w:val="center"/>
      <w:outlineLvl w:val="2"/>
    </w:pPr>
    <w:rPr>
      <w:rFonts w:hint="eastAsia" w:ascii="微软雅黑" w:hAnsi="微软雅黑" w:eastAsia="楷体_GB2312" w:cs="Times New Roman"/>
      <w:kern w:val="0"/>
      <w:sz w:val="24"/>
      <w:szCs w:val="31"/>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Cs w:val="28"/>
      <w:lang w:val="zh-CN" w:bidi="zh-CN"/>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8">
    <w:name w:val="Strong"/>
    <w:basedOn w:val="7"/>
    <w:qFormat/>
    <w:uiPriority w:val="22"/>
    <w:rPr>
      <w:rFonts w:ascii="Calibri" w:hAnsi="Calibri" w:eastAsia="黑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1159</Words>
  <Characters>1182</Characters>
  <Lines>0</Lines>
  <Paragraphs>0</Paragraphs>
  <TotalTime>0</TotalTime>
  <ScaleCrop>false</ScaleCrop>
  <LinksUpToDate>false</LinksUpToDate>
  <CharactersWithSpaces>1201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2025-03-27T01:10:00Z</dcterms:created>
  <dc:creator>Zzh</dc:creator>
  <cp:lastModifiedBy>Zzh</cp:lastModifiedBy>
  <dcterms:modified xsi:type="dcterms:W3CDTF">2025-03-27T01:21:28Z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709BE566EF3645B8A527D496E1A3BC5C_11</vt:lpwstr>
  </property>
  <property fmtid="{D5CDD505-2E9C-101B-9397-08002B2CF9AE}" pid="4" name="KSOTemplateDocerSaveRecord">
    <vt:lpwstr>eyJoZGlkIjoiNzdmZTc2OWFlMGUyMTI2MDFiNzlmZjNhZmM4NzM4M2QiLCJ1c2VySWQiOiI5NDY3NTY1NTgifQ==</vt:lpwstr>
  </property>
</Properties>
</file>